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349" w:bottom="1440" w:left="146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1FEACC3">
      <w:pP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53"/>
        <w:gridCol w:w="2773"/>
        <w:gridCol w:w="932"/>
        <w:gridCol w:w="984"/>
        <w:gridCol w:w="1680"/>
        <w:gridCol w:w="2054"/>
        <w:gridCol w:w="2054"/>
        <w:gridCol w:w="933"/>
      </w:tblGrid>
      <w:tr w14:paraId="0F93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8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德阳高新区跃龙片区棚户区改造（二期）A 区建设项目一标段、二标段“打捆”设计施工总承包</w:t>
            </w:r>
          </w:p>
          <w:p w14:paraId="4F67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砖采购控制价清单 </w:t>
            </w:r>
          </w:p>
        </w:tc>
      </w:tr>
      <w:tr w14:paraId="65F0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1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标准砖MU10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E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3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标准砖MU15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8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2F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4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8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C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45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烧结多孔砖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6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4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4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200*90*53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4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5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200*115*53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3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F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E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8B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耐火砌筑泥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水硬性普通耐火泥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C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4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0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9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88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E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A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2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注：报价包含从出厂到施工现场的所有费用（包括但不限于材料费、人工费、机械费、出厂前检测费、运杂费、装车费、保险费、利润、检验试验费、卸车费等一切该项目施工现场的所有费用）</w:t>
            </w:r>
          </w:p>
        </w:tc>
      </w:tr>
    </w:tbl>
    <w:p w14:paraId="39E24A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单位名称（盖章）：           </w:t>
      </w:r>
    </w:p>
    <w:p w14:paraId="169A64C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法定代表人/授权代表（签字）：</w:t>
      </w:r>
    </w:p>
    <w:p w14:paraId="4A271C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联系电话：  </w:t>
      </w:r>
    </w:p>
    <w:p w14:paraId="38E32322">
      <w:pPr>
        <w:spacing w:line="360" w:lineRule="auto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     月     日</w:t>
      </w:r>
    </w:p>
    <w:p w14:paraId="7E8494FF">
      <w:bookmarkStart w:id="0" w:name="_GoBack"/>
      <w:bookmarkEnd w:id="0"/>
    </w:p>
    <w:sectPr>
      <w:pgSz w:w="16838" w:h="11906" w:orient="landscape"/>
      <w:pgMar w:top="1293" w:right="1383" w:bottom="1293" w:left="13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14629"/>
    <w:rsid w:val="728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2026-05-19T09:49:00Z</dcterms:created>
  <dc:creator>三岁羡</dc:creator>
  <cp:lastModifiedBy>三岁羡</cp:lastModifiedBy>
  <dcterms:modified xsi:type="dcterms:W3CDTF">2026-05-19T09:50:04Z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98DB604101224458A055E4798074D08F_11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