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营业执照等证明材料</w:t>
      </w:r>
    </w:p>
    <w:p w14:paraId="6200BAF1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C54172">
      <w:pPr>
        <w:rPr>
          <w:rFonts w:eastAsia="黑体"/>
          <w:bCs/>
          <w:sz w:val="32"/>
          <w:szCs w:val="32"/>
        </w:rPr>
      </w:pPr>
      <w:bookmarkStart w:id="0" w:name="OLE_LINK1"/>
      <w:bookmarkStart w:id="1" w:name="OLE_LINK2"/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  <w:r>
        <w:rPr>
          <w:rFonts w:hint="eastAsia" w:eastAsia="黑体"/>
          <w:bCs/>
          <w:sz w:val="32"/>
          <w:szCs w:val="32"/>
        </w:rPr>
        <w:t>：</w:t>
      </w:r>
    </w:p>
    <w:bookmarkEnd w:id="0"/>
    <w:bookmarkEnd w:id="1"/>
    <w:p w14:paraId="23D3069E">
      <w:pPr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德阳高新区跃龙片区棚户区改造（二期）A区建设项目一标段、二标段“打捆”</w:t>
      </w:r>
      <w:r>
        <w:rPr>
          <w:rFonts w:hint="eastAsia" w:ascii="宋体" w:hAnsi="宋体" w:eastAsia="宋体" w:cs="宋体"/>
          <w:bCs/>
          <w:sz w:val="28"/>
          <w:szCs w:val="28"/>
        </w:rPr>
        <w:t>项目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发电机租赁</w:t>
      </w:r>
      <w:r>
        <w:rPr>
          <w:rFonts w:hint="eastAsia" w:ascii="宋体" w:hAnsi="宋体" w:eastAsia="宋体" w:cs="宋体"/>
          <w:bCs/>
          <w:sz w:val="28"/>
          <w:szCs w:val="28"/>
        </w:rPr>
        <w:t>市场调研报价函</w:t>
      </w:r>
    </w:p>
    <w:p w14:paraId="399C58E1">
      <w:pPr>
        <w:pStyle w:val="2"/>
        <w:rPr>
          <w:rFonts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87"/>
        <w:gridCol w:w="1761"/>
        <w:gridCol w:w="891"/>
        <w:gridCol w:w="846"/>
        <w:gridCol w:w="832"/>
        <w:gridCol w:w="876"/>
        <w:gridCol w:w="876"/>
        <w:gridCol w:w="1161"/>
      </w:tblGrid>
      <w:tr w14:paraId="52FA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 w14:paraId="4D75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dxa"/>
            <w:vAlign w:val="center"/>
          </w:tcPr>
          <w:p w14:paraId="0384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1" w:type="dxa"/>
            <w:vAlign w:val="center"/>
          </w:tcPr>
          <w:p w14:paraId="5D1E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项目特征及工作内容</w:t>
            </w:r>
          </w:p>
        </w:tc>
        <w:tc>
          <w:tcPr>
            <w:tcW w:w="891" w:type="dxa"/>
            <w:vAlign w:val="center"/>
          </w:tcPr>
          <w:p w14:paraId="6E10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dxa"/>
            <w:vAlign w:val="center"/>
          </w:tcPr>
          <w:p w14:paraId="4059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832" w:type="dxa"/>
            <w:vAlign w:val="center"/>
          </w:tcPr>
          <w:p w14:paraId="5A09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876" w:type="dxa"/>
            <w:vAlign w:val="center"/>
          </w:tcPr>
          <w:p w14:paraId="364C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876" w:type="dxa"/>
            <w:vAlign w:val="center"/>
          </w:tcPr>
          <w:p w14:paraId="28D4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1161" w:type="dxa"/>
            <w:vAlign w:val="center"/>
          </w:tcPr>
          <w:p w14:paraId="0157808C">
            <w:pPr>
              <w:pStyle w:val="2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136D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98" w:type="dxa"/>
            <w:vAlign w:val="center"/>
          </w:tcPr>
          <w:p w14:paraId="177F91DB"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 w14:paraId="155FA785">
            <w:pPr>
              <w:pStyle w:val="2"/>
              <w:rPr>
                <w:rFonts w:hint="default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eastAsia="宋体"/>
                <w:sz w:val="16"/>
                <w:szCs w:val="20"/>
                <w:lang w:val="en-US" w:eastAsia="zh-CN"/>
              </w:rPr>
              <w:t>0#柴油</w:t>
            </w:r>
          </w:p>
        </w:tc>
        <w:tc>
          <w:tcPr>
            <w:tcW w:w="1761" w:type="dxa"/>
          </w:tcPr>
          <w:p w14:paraId="21AEE1A4">
            <w:pPr>
              <w:pStyle w:val="2"/>
              <w:rPr>
                <w:rFonts w:hint="default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油料供应、运输、加注、防护等。</w:t>
            </w:r>
          </w:p>
        </w:tc>
        <w:tc>
          <w:tcPr>
            <w:tcW w:w="891" w:type="dxa"/>
            <w:vAlign w:val="center"/>
          </w:tcPr>
          <w:p w14:paraId="6D872036"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升</w:t>
            </w:r>
          </w:p>
        </w:tc>
        <w:tc>
          <w:tcPr>
            <w:tcW w:w="846" w:type="dxa"/>
            <w:vAlign w:val="center"/>
          </w:tcPr>
          <w:p w14:paraId="081737F0"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200000</w:t>
            </w:r>
          </w:p>
        </w:tc>
        <w:tc>
          <w:tcPr>
            <w:tcW w:w="832" w:type="dxa"/>
          </w:tcPr>
          <w:p w14:paraId="77A8366B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 w14:paraId="622DED42">
            <w:pPr>
              <w:pStyle w:val="2"/>
              <w:rPr>
                <w:vertAlign w:val="baseline"/>
              </w:rPr>
            </w:pPr>
          </w:p>
        </w:tc>
        <w:tc>
          <w:tcPr>
            <w:tcW w:w="876" w:type="dxa"/>
          </w:tcPr>
          <w:p w14:paraId="0B8CFA23">
            <w:pPr>
              <w:pStyle w:val="2"/>
              <w:rPr>
                <w:vertAlign w:val="baseline"/>
              </w:rPr>
            </w:pPr>
          </w:p>
        </w:tc>
        <w:tc>
          <w:tcPr>
            <w:tcW w:w="1161" w:type="dxa"/>
          </w:tcPr>
          <w:p w14:paraId="624958A3">
            <w:pPr>
              <w:pStyle w:val="2"/>
              <w:rPr>
                <w:vertAlign w:val="baseline"/>
              </w:rPr>
            </w:pPr>
          </w:p>
        </w:tc>
      </w:tr>
      <w:tr w14:paraId="29BE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498" w:type="dxa"/>
            <w:vAlign w:val="center"/>
          </w:tcPr>
          <w:p w14:paraId="51E1A95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7" w:type="dxa"/>
            <w:vAlign w:val="center"/>
          </w:tcPr>
          <w:p w14:paraId="03487180">
            <w:pPr>
              <w:pStyle w:val="2"/>
              <w:rPr>
                <w:rFonts w:hint="eastAsia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eastAsia="宋体"/>
                <w:sz w:val="16"/>
                <w:szCs w:val="20"/>
                <w:lang w:val="en-US" w:eastAsia="zh-CN"/>
              </w:rPr>
              <w:t>2台带</w:t>
            </w:r>
            <w:r>
              <w:rPr>
                <w:rFonts w:hint="eastAsia"/>
                <w:sz w:val="16"/>
                <w:szCs w:val="20"/>
                <w:lang w:val="en-US" w:eastAsia="zh-CN"/>
              </w:rPr>
              <w:t>静音</w:t>
            </w:r>
            <w:r>
              <w:rPr>
                <w:rFonts w:hint="eastAsia" w:eastAsia="宋体"/>
                <w:sz w:val="16"/>
                <w:szCs w:val="20"/>
                <w:lang w:val="en-US" w:eastAsia="zh-CN"/>
              </w:rPr>
              <w:t>箱</w:t>
            </w:r>
            <w:r>
              <w:rPr>
                <w:rFonts w:hint="eastAsia"/>
                <w:sz w:val="16"/>
                <w:szCs w:val="20"/>
                <w:lang w:val="en-US" w:eastAsia="zh-CN"/>
              </w:rPr>
              <w:t>5</w:t>
            </w:r>
            <w:r>
              <w:rPr>
                <w:rFonts w:hint="eastAsia" w:eastAsia="宋体"/>
                <w:sz w:val="16"/>
                <w:szCs w:val="20"/>
                <w:lang w:val="en-US" w:eastAsia="zh-CN"/>
              </w:rPr>
              <w:t>00KW高效柴油发电机组</w:t>
            </w:r>
          </w:p>
        </w:tc>
        <w:tc>
          <w:tcPr>
            <w:tcW w:w="1761" w:type="dxa"/>
          </w:tcPr>
          <w:p w14:paraId="793644C9">
            <w:pPr>
              <w:pStyle w:val="2"/>
              <w:rPr>
                <w:rFonts w:hint="default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包含但不限于发电机的运输、安装、维护、保养、拆除、进出场、上下车、防护等与租赁服务相关的一切工作。</w:t>
            </w:r>
          </w:p>
        </w:tc>
        <w:tc>
          <w:tcPr>
            <w:tcW w:w="891" w:type="dxa"/>
            <w:vAlign w:val="center"/>
          </w:tcPr>
          <w:p w14:paraId="69B4089A"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</w:t>
            </w:r>
          </w:p>
        </w:tc>
        <w:tc>
          <w:tcPr>
            <w:tcW w:w="846" w:type="dxa"/>
            <w:vAlign w:val="center"/>
          </w:tcPr>
          <w:p w14:paraId="6DEF7AEC"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832" w:type="dxa"/>
          </w:tcPr>
          <w:p w14:paraId="26A98637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 w14:paraId="4A2FF6ED">
            <w:pPr>
              <w:pStyle w:val="2"/>
              <w:rPr>
                <w:vertAlign w:val="baseline"/>
              </w:rPr>
            </w:pPr>
          </w:p>
        </w:tc>
        <w:tc>
          <w:tcPr>
            <w:tcW w:w="876" w:type="dxa"/>
          </w:tcPr>
          <w:p w14:paraId="7DD57A3B">
            <w:pPr>
              <w:pStyle w:val="2"/>
              <w:rPr>
                <w:vertAlign w:val="baseline"/>
              </w:rPr>
            </w:pPr>
          </w:p>
        </w:tc>
        <w:tc>
          <w:tcPr>
            <w:tcW w:w="1161" w:type="dxa"/>
          </w:tcPr>
          <w:p w14:paraId="4FAEF3A2">
            <w:pPr>
              <w:pStyle w:val="2"/>
              <w:rPr>
                <w:vertAlign w:val="baseline"/>
              </w:rPr>
            </w:pPr>
          </w:p>
        </w:tc>
      </w:tr>
      <w:tr w14:paraId="1402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 w14:paraId="43E8186F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7" w:type="dxa"/>
            <w:vAlign w:val="center"/>
          </w:tcPr>
          <w:p w14:paraId="3D579BDC">
            <w:pPr>
              <w:pStyle w:val="2"/>
              <w:rPr>
                <w:rFonts w:hint="default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eastAsia="宋体"/>
                <w:sz w:val="16"/>
                <w:szCs w:val="20"/>
                <w:lang w:val="en-US" w:eastAsia="zh-CN"/>
              </w:rPr>
              <w:t>1台带</w:t>
            </w:r>
            <w:r>
              <w:rPr>
                <w:rFonts w:hint="eastAsia"/>
                <w:sz w:val="16"/>
                <w:szCs w:val="20"/>
                <w:lang w:val="en-US" w:eastAsia="zh-CN"/>
              </w:rPr>
              <w:t>静音</w:t>
            </w:r>
            <w:r>
              <w:rPr>
                <w:rFonts w:hint="eastAsia" w:eastAsia="宋体"/>
                <w:sz w:val="16"/>
                <w:szCs w:val="20"/>
                <w:lang w:val="en-US" w:eastAsia="zh-CN"/>
              </w:rPr>
              <w:t>箱</w:t>
            </w:r>
            <w:r>
              <w:rPr>
                <w:rFonts w:hint="eastAsia"/>
                <w:sz w:val="16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sz w:val="16"/>
                <w:szCs w:val="20"/>
                <w:lang w:val="en-US" w:eastAsia="zh-CN"/>
              </w:rPr>
              <w:t>00KW高效柴油发电机</w:t>
            </w:r>
          </w:p>
        </w:tc>
        <w:tc>
          <w:tcPr>
            <w:tcW w:w="1761" w:type="dxa"/>
          </w:tcPr>
          <w:p w14:paraId="1BC3ABED">
            <w:pPr>
              <w:pStyle w:val="2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包含但不限于发电机的运输、安装、维护、保养、拆除、进出场、上下车、防护等与租赁服务相关的一切工作。</w:t>
            </w:r>
          </w:p>
        </w:tc>
        <w:tc>
          <w:tcPr>
            <w:tcW w:w="891" w:type="dxa"/>
            <w:vAlign w:val="center"/>
          </w:tcPr>
          <w:p w14:paraId="7C5D6F12"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</w:t>
            </w:r>
          </w:p>
        </w:tc>
        <w:tc>
          <w:tcPr>
            <w:tcW w:w="846" w:type="dxa"/>
            <w:vAlign w:val="center"/>
          </w:tcPr>
          <w:p w14:paraId="22AC5C10"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832" w:type="dxa"/>
          </w:tcPr>
          <w:p w14:paraId="491E4800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 w14:paraId="5BF049E4">
            <w:pPr>
              <w:pStyle w:val="2"/>
              <w:rPr>
                <w:vertAlign w:val="baseline"/>
              </w:rPr>
            </w:pPr>
          </w:p>
        </w:tc>
        <w:tc>
          <w:tcPr>
            <w:tcW w:w="876" w:type="dxa"/>
          </w:tcPr>
          <w:p w14:paraId="0012BD68">
            <w:pPr>
              <w:pStyle w:val="2"/>
              <w:rPr>
                <w:vertAlign w:val="baseline"/>
              </w:rPr>
            </w:pPr>
          </w:p>
        </w:tc>
        <w:tc>
          <w:tcPr>
            <w:tcW w:w="1161" w:type="dxa"/>
          </w:tcPr>
          <w:p w14:paraId="7704CE91">
            <w:pPr>
              <w:pStyle w:val="2"/>
              <w:rPr>
                <w:vertAlign w:val="baseline"/>
              </w:rPr>
            </w:pPr>
          </w:p>
        </w:tc>
      </w:tr>
      <w:tr w14:paraId="4678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7" w:type="dxa"/>
            <w:gridSpan w:val="4"/>
            <w:vAlign w:val="center"/>
          </w:tcPr>
          <w:p w14:paraId="63DCE525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含税合计（元）</w:t>
            </w:r>
          </w:p>
        </w:tc>
        <w:tc>
          <w:tcPr>
            <w:tcW w:w="846" w:type="dxa"/>
            <w:vAlign w:val="center"/>
          </w:tcPr>
          <w:p w14:paraId="73D610B6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40C098C7"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 w14:paraId="45ED48DE">
            <w:pPr>
              <w:pStyle w:val="2"/>
              <w:rPr>
                <w:vertAlign w:val="baseline"/>
              </w:rPr>
            </w:pPr>
          </w:p>
        </w:tc>
        <w:tc>
          <w:tcPr>
            <w:tcW w:w="876" w:type="dxa"/>
          </w:tcPr>
          <w:p w14:paraId="43D354E6">
            <w:pPr>
              <w:pStyle w:val="2"/>
              <w:rPr>
                <w:vertAlign w:val="baseline"/>
              </w:rPr>
            </w:pPr>
          </w:p>
        </w:tc>
        <w:tc>
          <w:tcPr>
            <w:tcW w:w="1161" w:type="dxa"/>
          </w:tcPr>
          <w:p w14:paraId="4113FD58">
            <w:pPr>
              <w:pStyle w:val="2"/>
              <w:rPr>
                <w:vertAlign w:val="baseline"/>
              </w:rPr>
            </w:pPr>
          </w:p>
        </w:tc>
      </w:tr>
    </w:tbl>
    <w:p w14:paraId="541FBB7C">
      <w:pPr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注：报价均用人民币表示，应为固定包干价，包括但不限于</w:t>
      </w:r>
      <w:r>
        <w:rPr>
          <w:rFonts w:hint="eastAsia" w:eastAsia="仿宋_GB2312"/>
          <w:szCs w:val="21"/>
          <w:lang w:val="en-US" w:eastAsia="zh-CN"/>
        </w:rPr>
        <w:t>人工费、材料费、机械费、安装费、上下车费、运输费、维护保养费、管理费、加班费、税费、利润、保险等乙方为完成本合同项下约定服务的所有费用</w:t>
      </w:r>
      <w:r>
        <w:rPr>
          <w:rFonts w:hint="eastAsia" w:eastAsia="仿宋_GB2312"/>
          <w:szCs w:val="21"/>
        </w:rPr>
        <w:t>。</w:t>
      </w:r>
    </w:p>
    <w:p w14:paraId="779C97F0">
      <w:pPr>
        <w:pStyle w:val="3"/>
        <w:tabs>
          <w:tab w:val="left" w:pos="2319"/>
        </w:tabs>
        <w:spacing w:after="0" w:line="480" w:lineRule="exact"/>
        <w:ind w:firstLineChars="200"/>
        <w:rPr>
          <w:rFonts w:hint="eastAsia" w:eastAsia="仿宋_GB2312"/>
          <w:szCs w:val="21"/>
          <w:lang w:eastAsia="zh-CN"/>
        </w:rPr>
      </w:pPr>
      <w:r>
        <w:rPr>
          <w:rFonts w:hint="eastAsia" w:eastAsia="仿宋_GB2312"/>
          <w:szCs w:val="21"/>
          <w:lang w:eastAsia="zh-CN"/>
        </w:rPr>
        <w:tab/>
      </w:r>
    </w:p>
    <w:p w14:paraId="3EC97DF0">
      <w:pPr>
        <w:pStyle w:val="3"/>
        <w:tabs>
          <w:tab w:val="left" w:pos="2319"/>
        </w:tabs>
        <w:spacing w:after="0" w:line="480" w:lineRule="exact"/>
        <w:ind w:firstLineChars="200"/>
        <w:rPr>
          <w:rFonts w:hint="eastAsia" w:eastAsia="仿宋_GB2312"/>
          <w:szCs w:val="21"/>
          <w:lang w:eastAsia="zh-CN"/>
        </w:rPr>
      </w:pPr>
    </w:p>
    <w:p w14:paraId="2F0BF452">
      <w:pPr>
        <w:adjustRightInd w:val="0"/>
        <w:spacing w:line="480" w:lineRule="auto"/>
        <w:ind w:firstLine="2560" w:firstLineChars="8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（盖单位公章）</w:t>
      </w:r>
    </w:p>
    <w:p w14:paraId="43EE7BEA">
      <w:pPr>
        <w:pStyle w:val="2"/>
        <w:ind w:firstLine="2560" w:firstLineChars="8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联系人：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</w:p>
    <w:p w14:paraId="63AB4672">
      <w:pPr>
        <w:ind w:firstLine="2560" w:firstLineChars="800"/>
      </w:pP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</w:rPr>
        <w:t xml:space="preserve">    </w:t>
      </w:r>
    </w:p>
    <w:p w14:paraId="2AF3BB39">
      <w:pPr>
        <w:ind w:firstLine="2560" w:firstLineChars="800"/>
        <w:jc w:val="left"/>
      </w:pPr>
      <w:r>
        <w:rPr>
          <w:rFonts w:eastAsia="仿宋_GB2312"/>
          <w:bCs/>
          <w:sz w:val="32"/>
          <w:szCs w:val="32"/>
        </w:rPr>
        <w:t>日  期：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日</w:t>
      </w:r>
    </w:p>
    <w:p w14:paraId="5BD93970"/>
    <w:p w14:paraId="559D491B">
      <w:pPr>
        <w:ind w:firstLine="1680" w:firstLineChars="800"/>
        <w:jc w:val="left"/>
      </w:pPr>
    </w:p>
    <w:p w14:paraId="5EBFB371">
      <w:bookmarkStart w:id="2" w:name="_GoBack"/>
      <w:bookmarkEnd w:id="2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65C8"/>
    <w:rsid w:val="449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2025-07-31T02:13:00Z</dcterms:created>
  <dc:creator>黄菲菲</dc:creator>
  <cp:lastModifiedBy>黄菲菲</cp:lastModifiedBy>
  <dcterms:modified xsi:type="dcterms:W3CDTF">2025-07-31T02:14:18Z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8A0148478F134A3393D01E7EBEAD2D73_11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