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5F1BC6E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B82D264">
      <w:pPr>
        <w:rPr>
          <w:rFonts w:hint="default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277570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6D76C571">
      <w:pPr>
        <w:jc w:val="center"/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广汉市第二十四（南兴）污水处理厂预留用地场平工程</w:t>
      </w:r>
    </w:p>
    <w:p w14:paraId="083CB6FD">
      <w:pPr>
        <w:jc w:val="center"/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机械租赁服务报价函</w:t>
      </w:r>
    </w:p>
    <w:tbl>
      <w:tblPr>
        <w:tblStyle w:val="3"/>
        <w:tblW w:w="8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696"/>
        <w:gridCol w:w="1331"/>
        <w:gridCol w:w="666"/>
        <w:gridCol w:w="1150"/>
        <w:gridCol w:w="968"/>
        <w:gridCol w:w="2136"/>
      </w:tblGrid>
      <w:tr w14:paraId="10EC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暂定租赁          时间（台班）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含税单价报价（元/台班）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含税合价报价（元）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FE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07A4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6515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06F6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0BFC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14D8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2F7A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含油费，司机费用</w:t>
            </w:r>
          </w:p>
        </w:tc>
      </w:tr>
      <w:tr w14:paraId="3F93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DF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9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7116">
            <w:pPr>
              <w:pStyle w:val="2"/>
              <w:ind w:firstLine="440" w:firstLineChars="20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所有报价均用人民币表示，采用固定综合单价报价，包括但不限于进出场费、油费、司机费用、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管理费、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利润、税金等为完成本项目的所有费用。</w:t>
            </w:r>
          </w:p>
          <w:p w14:paraId="714823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BE03F7E">
      <w:pPr>
        <w:adjustRightInd w:val="0"/>
        <w:spacing w:line="480" w:lineRule="auto"/>
        <w:ind w:firstLine="2240" w:firstLineChars="7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2876FC7">
      <w:pPr>
        <w:adjustRightInd w:val="0"/>
        <w:spacing w:line="480" w:lineRule="auto"/>
        <w:ind w:firstLine="2880" w:firstLineChars="9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5BC486E3">
      <w:pPr>
        <w:adjustRightInd w:val="0"/>
        <w:spacing w:line="480" w:lineRule="auto"/>
        <w:ind w:firstLine="2880" w:firstLineChars="9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 w14:paraId="42CD3B5A">
      <w:pPr>
        <w:pStyle w:val="2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487C14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5E7A"/>
    <w:rsid w:val="6866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2025-07-18T10:21:00Z</dcterms:created>
  <dc:creator>黄菲菲</dc:creator>
  <cp:lastModifiedBy>黄菲菲</cp:lastModifiedBy>
  <dcterms:modified xsi:type="dcterms:W3CDTF">2025-07-18T10:22:26Z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5A2ACAB1843247248B0B793D2C981BA0_11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