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C0CD">
      <w:pPr>
        <w:spacing w:line="360" w:lineRule="auto"/>
        <w:ind w:firstLine="0" w:firstLineChars="0"/>
        <w:jc w:val="center"/>
        <w:outlineLvl w:val="1"/>
        <w:rPr>
          <w:rFonts w:hint="default" w:ascii="Times New Roman" w:hAnsi="Times New Roman" w:eastAsia="仿宋" w:cs="Times New Roman"/>
          <w:b/>
          <w:color w:val="auto"/>
          <w:sz w:val="32"/>
          <w:szCs w:val="32"/>
          <w:highlight w:val="none"/>
          <w:u w:val="none"/>
        </w:rPr>
      </w:pPr>
      <w:r>
        <w:rPr>
          <w:rFonts w:hint="default" w:ascii="Times New Roman" w:hAnsi="Times New Roman" w:eastAsia="仿宋" w:cs="Times New Roman"/>
          <w:b/>
          <w:color w:val="auto"/>
          <w:sz w:val="32"/>
          <w:szCs w:val="32"/>
          <w:highlight w:val="none"/>
          <w:lang w:val="en-US" w:eastAsia="zh-CN"/>
        </w:rPr>
        <w:t>一、</w:t>
      </w:r>
      <w:r>
        <w:rPr>
          <w:rFonts w:hint="default" w:ascii="Times New Roman" w:hAnsi="Times New Roman" w:eastAsia="仿宋" w:cs="Times New Roman"/>
          <w:b/>
          <w:color w:val="auto"/>
          <w:sz w:val="32"/>
          <w:szCs w:val="32"/>
          <w:highlight w:val="none"/>
        </w:rPr>
        <w:t>授权委托书</w:t>
      </w:r>
    </w:p>
    <w:p w14:paraId="65274189">
      <w:pPr>
        <w:spacing w:line="460" w:lineRule="exact"/>
        <w:ind w:firstLine="600" w:firstLineChars="250"/>
        <w:rPr>
          <w:rFonts w:hint="default" w:ascii="Times New Roman" w:hAnsi="Times New Roman" w:eastAsia="仿宋" w:cs="Times New Roman"/>
          <w:color w:val="auto"/>
          <w:sz w:val="24"/>
          <w:highlight w:val="none"/>
          <w:u w:val="single"/>
        </w:rPr>
      </w:pPr>
    </w:p>
    <w:p w14:paraId="6089ADB7">
      <w:pPr>
        <w:keepNext w:val="0"/>
        <w:keepLines w:val="0"/>
        <w:pageBreakBefore w:val="0"/>
        <w:widowControl w:val="0"/>
        <w:tabs>
          <w:tab w:val="center" w:pos="4873"/>
          <w:tab w:val="left" w:pos="7327"/>
        </w:tabs>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none"/>
        </w:rPr>
        <w:t xml:space="preserve"> 公司</w:t>
      </w:r>
      <w:r>
        <w:rPr>
          <w:rFonts w:hint="default" w:ascii="Times New Roman" w:hAnsi="Times New Roman" w:eastAsia="仿宋" w:cs="Times New Roman"/>
          <w:color w:val="auto"/>
          <w:sz w:val="28"/>
          <w:szCs w:val="28"/>
          <w:highlight w:val="none"/>
        </w:rPr>
        <w:t>（以下简称“本公司”），系根据中华人民共和国法律设立并存续的公司，其注册地在</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。根据本公司做出的决定，谨郑重授权</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（姓名、职务）为本公司正式合法的授权代理人，该代理人有权代表本公司参加</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b w:val="0"/>
          <w:bCs w:val="0"/>
          <w:color w:val="auto"/>
          <w:kern w:val="2"/>
          <w:sz w:val="28"/>
          <w:szCs w:val="28"/>
          <w:highlight w:val="none"/>
          <w:u w:val="single"/>
          <w:lang w:val="en-US" w:eastAsia="zh-CN"/>
        </w:rPr>
        <w:t>项目名称</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活动，代理人在</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及合同执行过程中，代表本公司处理一切与之有关的事务，本公司均予以认可。</w:t>
      </w:r>
    </w:p>
    <w:p w14:paraId="76F33CC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代理人无权转委托。</w:t>
      </w:r>
    </w:p>
    <w:p w14:paraId="7DA5F94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本授权书于</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日签字生效，特此声明。</w:t>
      </w:r>
    </w:p>
    <w:p w14:paraId="1F8920F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50DAB966">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响应人名称</w:t>
      </w:r>
      <w:r>
        <w:rPr>
          <w:rFonts w:hint="default" w:ascii="Times New Roman" w:hAnsi="Times New Roman" w:eastAsia="仿宋" w:cs="Times New Roman"/>
          <w:color w:val="auto"/>
          <w:sz w:val="28"/>
          <w:szCs w:val="28"/>
          <w:highlight w:val="none"/>
        </w:rPr>
        <w:t xml:space="preserve">（盖章）：  </w:t>
      </w:r>
    </w:p>
    <w:p w14:paraId="19E1F35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251B96EE">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法定代表人（签字）：</w:t>
      </w:r>
    </w:p>
    <w:p w14:paraId="71F792FA">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身份证号：</w:t>
      </w:r>
    </w:p>
    <w:p w14:paraId="2910A930">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p>
    <w:p w14:paraId="48A6B55B">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代理人（签字）：</w:t>
      </w:r>
    </w:p>
    <w:p w14:paraId="5B1DC0D5">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身份证号： </w:t>
      </w:r>
    </w:p>
    <w:p w14:paraId="6E3C100C">
      <w:pPr>
        <w:spacing w:line="570" w:lineRule="exact"/>
        <w:ind w:firstLine="700" w:firstLineChars="250"/>
        <w:rPr>
          <w:rFonts w:hint="default" w:eastAsia="仿宋"/>
          <w:color w:val="auto"/>
          <w:sz w:val="28"/>
          <w:szCs w:val="28"/>
          <w:highlight w:val="none"/>
          <w:lang w:val="en-US" w:eastAsia="zh-CN"/>
        </w:rPr>
      </w:pPr>
      <w:r>
        <w:rPr>
          <w:rFonts w:hint="default" w:eastAsia="仿宋" w:cs="Times New Roman"/>
          <w:color w:val="auto"/>
          <w:sz w:val="28"/>
          <w:szCs w:val="28"/>
          <w:highlight w:val="none"/>
          <w:lang w:val="en-US" w:eastAsia="zh-CN"/>
        </w:rPr>
        <w:t>联系电话：</w:t>
      </w:r>
    </w:p>
    <w:p w14:paraId="582D9B2E">
      <w:pPr>
        <w:keepNext w:val="0"/>
        <w:keepLines w:val="0"/>
        <w:pageBreakBefore w:val="0"/>
        <w:widowControl w:val="0"/>
        <w:kinsoku/>
        <w:wordWrap/>
        <w:overflowPunct/>
        <w:topLinePunct w:val="0"/>
        <w:autoSpaceDE/>
        <w:autoSpaceDN/>
        <w:bidi w:val="0"/>
        <w:adjustRightInd/>
        <w:snapToGrid/>
        <w:spacing w:line="570" w:lineRule="exact"/>
        <w:ind w:firstLine="5180" w:firstLineChars="18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年    月    日</w:t>
      </w:r>
    </w:p>
    <w:p w14:paraId="5595146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jc w:val="both"/>
        <w:textAlignment w:val="auto"/>
        <w:outlineLvl w:val="1"/>
        <w:rPr>
          <w:rFonts w:hint="default" w:ascii="Times New Roman" w:hAnsi="Times New Roman" w:eastAsia="仿宋" w:cs="Times New Roman"/>
          <w:color w:val="auto"/>
          <w:sz w:val="28"/>
          <w:szCs w:val="28"/>
          <w:highlight w:val="none"/>
        </w:rPr>
      </w:pPr>
    </w:p>
    <w:p w14:paraId="04204170">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法定代</w:t>
      </w:r>
      <w:r>
        <w:rPr>
          <w:rFonts w:hint="default" w:ascii="Times New Roman" w:hAnsi="Times New Roman" w:eastAsia="仿宋" w:cs="Times New Roman"/>
          <w:color w:val="auto"/>
          <w:sz w:val="28"/>
          <w:szCs w:val="28"/>
          <w:highlight w:val="none"/>
        </w:rPr>
        <w:t>表人及代理人身份证复印件（需加盖单位公章）</w:t>
      </w:r>
    </w:p>
    <w:p w14:paraId="68A425F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outlineLvl w:val="1"/>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法定代表人直接参加不须提供，但须提供法定代表人证明原件</w:t>
      </w:r>
    </w:p>
    <w:p w14:paraId="29328420">
      <w:pPr>
        <w:rPr>
          <w:rFonts w:hint="default" w:ascii="Times New Roman" w:hAnsi="Times New Roman" w:cs="Times New Roman"/>
          <w:lang w:val="en-US" w:eastAsia="zh-CN"/>
        </w:rPr>
      </w:pPr>
    </w:p>
    <w:p w14:paraId="24BC8073">
      <w:pPr>
        <w:rPr>
          <w:rFonts w:hint="default" w:ascii="Times New Roman" w:hAnsi="Times New Roman" w:cs="Times New Roman"/>
          <w:lang w:val="en-US" w:eastAsia="zh-CN"/>
        </w:rPr>
      </w:pPr>
    </w:p>
    <w:p w14:paraId="3E246BCC">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二、营业执照及相关资料</w:t>
      </w:r>
    </w:p>
    <w:p w14:paraId="46B400FE">
      <w:pPr>
        <w:rPr>
          <w:rFonts w:hint="default" w:ascii="Times New Roman" w:hAnsi="Times New Roman" w:cs="Times New Roman"/>
          <w:lang w:val="en-US" w:eastAsia="zh-CN"/>
        </w:rPr>
      </w:pPr>
    </w:p>
    <w:p w14:paraId="1ECB61BD">
      <w:pPr>
        <w:pStyle w:val="3"/>
        <w:rPr>
          <w:rFonts w:hint="default" w:ascii="Times New Roman" w:hAnsi="Times New Roman" w:cs="Times New Roman"/>
          <w:lang w:val="en-US" w:eastAsia="zh-CN"/>
        </w:rPr>
      </w:pPr>
    </w:p>
    <w:p w14:paraId="459DD927">
      <w:pPr>
        <w:rPr>
          <w:rFonts w:hint="default" w:ascii="Times New Roman" w:hAnsi="Times New Roman" w:cs="Times New Roman"/>
          <w:lang w:val="en-US" w:eastAsia="zh-CN"/>
        </w:rPr>
      </w:pPr>
    </w:p>
    <w:p w14:paraId="282CD614">
      <w:pPr>
        <w:pStyle w:val="3"/>
        <w:rPr>
          <w:rFonts w:hint="default" w:ascii="Times New Roman" w:hAnsi="Times New Roman" w:cs="Times New Roman"/>
          <w:lang w:val="en-US" w:eastAsia="zh-CN"/>
        </w:rPr>
      </w:pPr>
    </w:p>
    <w:p w14:paraId="12B1465D">
      <w:pPr>
        <w:rPr>
          <w:rFonts w:hint="default" w:ascii="Times New Roman" w:hAnsi="Times New Roman" w:cs="Times New Roman"/>
          <w:lang w:val="en-US" w:eastAsia="zh-CN"/>
        </w:rPr>
      </w:pPr>
    </w:p>
    <w:p w14:paraId="075644AD">
      <w:pPr>
        <w:pStyle w:val="3"/>
        <w:rPr>
          <w:rFonts w:hint="default" w:ascii="Times New Roman" w:hAnsi="Times New Roman" w:cs="Times New Roman"/>
          <w:lang w:val="en-US" w:eastAsia="zh-CN"/>
        </w:rPr>
      </w:pPr>
    </w:p>
    <w:p w14:paraId="4F995378">
      <w:pPr>
        <w:rPr>
          <w:rFonts w:hint="default" w:ascii="Times New Roman" w:hAnsi="Times New Roman" w:cs="Times New Roman"/>
          <w:lang w:val="en-US" w:eastAsia="zh-CN"/>
        </w:rPr>
      </w:pPr>
    </w:p>
    <w:p w14:paraId="0AD99E81">
      <w:pPr>
        <w:pStyle w:val="3"/>
        <w:rPr>
          <w:rFonts w:hint="default" w:ascii="Times New Roman" w:hAnsi="Times New Roman" w:cs="Times New Roman"/>
          <w:lang w:val="en-US" w:eastAsia="zh-CN"/>
        </w:rPr>
      </w:pPr>
    </w:p>
    <w:p w14:paraId="38038EE0">
      <w:pPr>
        <w:rPr>
          <w:rFonts w:hint="default" w:ascii="Times New Roman" w:hAnsi="Times New Roman" w:cs="Times New Roman"/>
          <w:lang w:val="en-US" w:eastAsia="zh-CN"/>
        </w:rPr>
      </w:pPr>
    </w:p>
    <w:p w14:paraId="6D06DA77">
      <w:pPr>
        <w:pStyle w:val="3"/>
        <w:rPr>
          <w:rFonts w:hint="default" w:ascii="Times New Roman" w:hAnsi="Times New Roman" w:cs="Times New Roman"/>
          <w:lang w:val="en-US" w:eastAsia="zh-CN"/>
        </w:rPr>
      </w:pPr>
    </w:p>
    <w:p w14:paraId="5C7DCC0E">
      <w:pPr>
        <w:rPr>
          <w:rFonts w:hint="default" w:ascii="Times New Roman" w:hAnsi="Times New Roman" w:cs="Times New Roman"/>
          <w:lang w:val="en-US" w:eastAsia="zh-CN"/>
        </w:rPr>
      </w:pPr>
    </w:p>
    <w:p w14:paraId="0E34BBBC">
      <w:pPr>
        <w:pStyle w:val="3"/>
        <w:rPr>
          <w:rFonts w:hint="default" w:ascii="Times New Roman" w:hAnsi="Times New Roman" w:cs="Times New Roman"/>
          <w:lang w:val="en-US" w:eastAsia="zh-CN"/>
        </w:rPr>
      </w:pPr>
    </w:p>
    <w:p w14:paraId="2C3ED2E6">
      <w:pPr>
        <w:rPr>
          <w:rFonts w:hint="default" w:ascii="Times New Roman" w:hAnsi="Times New Roman" w:cs="Times New Roman"/>
          <w:lang w:val="en-US" w:eastAsia="zh-CN"/>
        </w:rPr>
      </w:pPr>
    </w:p>
    <w:p w14:paraId="4E004E27">
      <w:pPr>
        <w:pStyle w:val="3"/>
        <w:rPr>
          <w:rFonts w:hint="default" w:ascii="Times New Roman" w:hAnsi="Times New Roman" w:cs="Times New Roman"/>
          <w:lang w:val="en-US" w:eastAsia="zh-CN"/>
        </w:rPr>
      </w:pPr>
    </w:p>
    <w:p w14:paraId="3189D4A5">
      <w:pPr>
        <w:rPr>
          <w:rFonts w:hint="default" w:ascii="Times New Roman" w:hAnsi="Times New Roman" w:cs="Times New Roman"/>
          <w:lang w:val="en-US" w:eastAsia="zh-CN"/>
        </w:rPr>
      </w:pPr>
    </w:p>
    <w:p w14:paraId="2E710045">
      <w:pPr>
        <w:pStyle w:val="3"/>
        <w:rPr>
          <w:rFonts w:hint="default" w:ascii="Times New Roman" w:hAnsi="Times New Roman" w:cs="Times New Roman"/>
          <w:lang w:val="en-US" w:eastAsia="zh-CN"/>
        </w:rPr>
      </w:pPr>
    </w:p>
    <w:p w14:paraId="5D4A5308">
      <w:pPr>
        <w:rPr>
          <w:rFonts w:hint="default" w:ascii="Times New Roman" w:hAnsi="Times New Roman" w:cs="Times New Roman"/>
          <w:lang w:val="en-US" w:eastAsia="zh-CN"/>
        </w:rPr>
      </w:pPr>
    </w:p>
    <w:p w14:paraId="11BFDA28">
      <w:pPr>
        <w:pStyle w:val="3"/>
        <w:rPr>
          <w:rFonts w:hint="default" w:ascii="Times New Roman" w:hAnsi="Times New Roman" w:cs="Times New Roman"/>
          <w:lang w:val="en-US" w:eastAsia="zh-CN"/>
        </w:rPr>
      </w:pPr>
    </w:p>
    <w:p w14:paraId="0BFEE554">
      <w:pPr>
        <w:rPr>
          <w:rFonts w:hint="default" w:ascii="Times New Roman" w:hAnsi="Times New Roman" w:cs="Times New Roman"/>
          <w:lang w:val="en-US" w:eastAsia="zh-CN"/>
        </w:rPr>
      </w:pPr>
    </w:p>
    <w:p w14:paraId="4CF541BB">
      <w:pPr>
        <w:pStyle w:val="3"/>
        <w:rPr>
          <w:rFonts w:hint="default" w:ascii="Times New Roman" w:hAnsi="Times New Roman" w:cs="Times New Roman"/>
          <w:lang w:val="en-US" w:eastAsia="zh-CN"/>
        </w:rPr>
      </w:pPr>
    </w:p>
    <w:p w14:paraId="600B3E73">
      <w:pPr>
        <w:rPr>
          <w:rFonts w:hint="default" w:ascii="Times New Roman" w:hAnsi="Times New Roman" w:cs="Times New Roman"/>
          <w:lang w:val="en-US" w:eastAsia="zh-CN"/>
        </w:rPr>
      </w:pPr>
    </w:p>
    <w:p w14:paraId="678CC94C">
      <w:pPr>
        <w:pStyle w:val="3"/>
        <w:rPr>
          <w:rFonts w:hint="default" w:ascii="Times New Roman" w:hAnsi="Times New Roman" w:cs="Times New Roman"/>
          <w:lang w:val="en-US" w:eastAsia="zh-CN"/>
        </w:rPr>
      </w:pPr>
    </w:p>
    <w:p w14:paraId="64F2FB64">
      <w:pPr>
        <w:rPr>
          <w:rFonts w:hint="default" w:ascii="Times New Roman" w:hAnsi="Times New Roman" w:cs="Times New Roman"/>
          <w:lang w:val="en-US" w:eastAsia="zh-CN"/>
        </w:rPr>
      </w:pPr>
    </w:p>
    <w:p w14:paraId="7C7F6948">
      <w:pPr>
        <w:pStyle w:val="3"/>
        <w:rPr>
          <w:rFonts w:hint="default" w:ascii="Times New Roman" w:hAnsi="Times New Roman" w:cs="Times New Roman"/>
          <w:lang w:val="en-US" w:eastAsia="zh-CN"/>
        </w:rPr>
      </w:pPr>
    </w:p>
    <w:p w14:paraId="6CA88E28">
      <w:pPr>
        <w:rPr>
          <w:rFonts w:hint="default" w:ascii="Times New Roman" w:hAnsi="Times New Roman" w:cs="Times New Roman"/>
          <w:lang w:val="en-US" w:eastAsia="zh-CN"/>
        </w:rPr>
      </w:pPr>
    </w:p>
    <w:p w14:paraId="48C88BB1">
      <w:pPr>
        <w:pStyle w:val="3"/>
        <w:rPr>
          <w:rFonts w:hint="default" w:ascii="Times New Roman" w:hAnsi="Times New Roman" w:cs="Times New Roman"/>
          <w:lang w:val="en-US" w:eastAsia="zh-CN"/>
        </w:rPr>
      </w:pPr>
    </w:p>
    <w:p w14:paraId="190E7ECB">
      <w:pPr>
        <w:rPr>
          <w:rFonts w:hint="default" w:ascii="Times New Roman" w:hAnsi="Times New Roman" w:cs="Times New Roman"/>
          <w:lang w:val="en-US" w:eastAsia="zh-CN"/>
        </w:rPr>
      </w:pPr>
    </w:p>
    <w:p w14:paraId="71403145">
      <w:pPr>
        <w:pStyle w:val="3"/>
        <w:rPr>
          <w:rFonts w:hint="default" w:ascii="Times New Roman" w:hAnsi="Times New Roman" w:cs="Times New Roman"/>
          <w:lang w:val="en-US" w:eastAsia="zh-CN"/>
        </w:rPr>
      </w:pPr>
    </w:p>
    <w:p w14:paraId="153CD513">
      <w:pPr>
        <w:rPr>
          <w:rFonts w:hint="default" w:ascii="Times New Roman" w:hAnsi="Times New Roman" w:cs="Times New Roman"/>
          <w:lang w:val="en-US" w:eastAsia="zh-CN"/>
        </w:rPr>
      </w:pPr>
    </w:p>
    <w:p w14:paraId="0C4CDAE8">
      <w:pPr>
        <w:rPr>
          <w:rFonts w:hint="default" w:ascii="Times New Roman" w:hAnsi="Times New Roman" w:cs="Times New Roman"/>
          <w:lang w:val="en-US" w:eastAsia="zh-CN"/>
        </w:rPr>
      </w:pPr>
    </w:p>
    <w:p w14:paraId="60ED61A8">
      <w:pPr>
        <w:pStyle w:val="3"/>
        <w:rPr>
          <w:rFonts w:hint="default" w:ascii="Times New Roman" w:hAnsi="Times New Roman" w:cs="Times New Roman"/>
          <w:lang w:val="en-US" w:eastAsia="zh-CN"/>
        </w:rPr>
      </w:pPr>
    </w:p>
    <w:p w14:paraId="293AF3BB">
      <w:pPr>
        <w:rPr>
          <w:rFonts w:hint="default" w:ascii="Times New Roman" w:hAnsi="Times New Roman" w:cs="Times New Roman"/>
          <w:lang w:val="en-US" w:eastAsia="zh-CN"/>
        </w:rPr>
      </w:pPr>
    </w:p>
    <w:p w14:paraId="114EAF30">
      <w:pPr>
        <w:pStyle w:val="3"/>
        <w:rPr>
          <w:rFonts w:hint="default" w:ascii="Times New Roman" w:hAnsi="Times New Roman" w:cs="Times New Roman"/>
          <w:lang w:val="en-US" w:eastAsia="zh-CN"/>
        </w:rPr>
      </w:pPr>
    </w:p>
    <w:p w14:paraId="445AB21E">
      <w:pPr>
        <w:rPr>
          <w:rFonts w:hint="default" w:ascii="Times New Roman" w:hAnsi="Times New Roman" w:cs="Times New Roman"/>
          <w:lang w:val="en-US" w:eastAsia="zh-CN"/>
        </w:rPr>
      </w:pPr>
    </w:p>
    <w:p w14:paraId="4426053D">
      <w:pPr>
        <w:rPr>
          <w:rFonts w:hint="default" w:ascii="Times New Roman" w:hAnsi="Times New Roman" w:cs="Times New Roman"/>
          <w:lang w:val="en-US" w:eastAsia="zh-CN"/>
        </w:rPr>
      </w:pPr>
    </w:p>
    <w:p w14:paraId="78BAE482">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三、报价函</w:t>
      </w:r>
    </w:p>
    <w:p w14:paraId="2DB156FC">
      <w:pPr>
        <w:rPr>
          <w:rFonts w:hint="default" w:ascii="Times New Roman" w:hAnsi="Times New Roman" w:cs="Times New Roman"/>
          <w:lang w:val="en-US" w:eastAsia="zh-CN"/>
        </w:rPr>
      </w:pPr>
    </w:p>
    <w:p w14:paraId="2219FCF1">
      <w:pPr>
        <w:pStyle w:val="3"/>
        <w:rPr>
          <w:rFonts w:hint="default" w:ascii="Times New Roman" w:hAnsi="Times New Roman" w:eastAsia="仿宋" w:cs="Times New Roman"/>
          <w:lang w:val="en-US" w:eastAsia="zh-CN"/>
        </w:rPr>
      </w:pPr>
    </w:p>
    <w:p w14:paraId="1F4ED0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四川中彩源</w:t>
      </w:r>
      <w:r>
        <w:rPr>
          <w:rFonts w:hint="eastAsia" w:eastAsia="仿宋" w:cs="Times New Roman"/>
          <w:color w:val="auto"/>
          <w:sz w:val="32"/>
          <w:szCs w:val="32"/>
          <w:highlight w:val="none"/>
          <w:lang w:val="en-US" w:eastAsia="zh-CN"/>
        </w:rPr>
        <w:t>建设</w:t>
      </w:r>
      <w:r>
        <w:rPr>
          <w:rFonts w:hint="default" w:ascii="Times New Roman" w:hAnsi="Times New Roman" w:eastAsia="仿宋" w:cs="Times New Roman"/>
          <w:color w:val="auto"/>
          <w:sz w:val="32"/>
          <w:szCs w:val="32"/>
          <w:highlight w:val="none"/>
          <w:lang w:val="en-US" w:eastAsia="zh-CN"/>
        </w:rPr>
        <w:t>工程有限公司</w:t>
      </w:r>
      <w:r>
        <w:rPr>
          <w:rFonts w:hint="default" w:ascii="Times New Roman" w:hAnsi="Times New Roman" w:eastAsia="仿宋" w:cs="Times New Roman"/>
          <w:color w:val="auto"/>
          <w:sz w:val="32"/>
          <w:szCs w:val="32"/>
          <w:highlight w:val="none"/>
        </w:rPr>
        <w:t>：</w:t>
      </w:r>
    </w:p>
    <w:p w14:paraId="0679D8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color w:val="auto"/>
          <w:sz w:val="32"/>
          <w:szCs w:val="32"/>
          <w:highlight w:val="none"/>
        </w:rPr>
      </w:pPr>
      <w:r>
        <w:rPr>
          <w:rFonts w:hint="default" w:ascii="Times New Roman" w:hAnsi="Times New Roman" w:eastAsia="仿宋" w:cs="Times New Roman"/>
          <w:color w:val="auto"/>
          <w:sz w:val="32"/>
          <w:szCs w:val="32"/>
          <w:highlight w:val="none"/>
        </w:rPr>
        <w:t>关于</w:t>
      </w:r>
      <w:r>
        <w:rPr>
          <w:rFonts w:hint="default" w:ascii="Times New Roman" w:hAnsi="Times New Roman" w:eastAsia="仿宋" w:cs="Times New Roman"/>
          <w:color w:val="auto"/>
          <w:sz w:val="32"/>
          <w:szCs w:val="32"/>
          <w:highlight w:val="none"/>
          <w:lang w:val="en-US" w:eastAsia="zh-CN"/>
        </w:rPr>
        <w:t>贵公司</w:t>
      </w:r>
      <w:r>
        <w:rPr>
          <w:rFonts w:hint="default" w:ascii="Times New Roman" w:hAnsi="Times New Roman" w:eastAsia="仿宋" w:cs="Times New Roman"/>
          <w:color w:val="auto"/>
          <w:sz w:val="32"/>
          <w:szCs w:val="32"/>
          <w:highlight w:val="none"/>
          <w:u w:val="single"/>
          <w:lang w:val="en-US" w:eastAsia="zh-CN"/>
        </w:rPr>
        <w:t xml:space="preserve">  </w:t>
      </w:r>
      <w:r>
        <w:rPr>
          <w:rFonts w:hint="eastAsia" w:ascii="Times New Roman" w:hAnsi="Times New Roman" w:eastAsia="仿宋" w:cs="Times New Roman"/>
          <w:color w:val="auto"/>
          <w:sz w:val="32"/>
          <w:szCs w:val="32"/>
          <w:highlight w:val="none"/>
          <w:u w:val="single"/>
          <w:lang w:val="en-US" w:eastAsia="zh-CN"/>
        </w:rPr>
        <w:t>成品岗亭、组合花箱等材料</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none"/>
          <w:lang w:val="en-US" w:eastAsia="zh-CN"/>
        </w:rPr>
        <w:t>询价公告</w:t>
      </w:r>
      <w:r>
        <w:rPr>
          <w:rFonts w:hint="default" w:ascii="Times New Roman" w:hAnsi="Times New Roman" w:eastAsia="仿宋" w:cs="Times New Roman"/>
          <w:color w:val="auto"/>
          <w:sz w:val="32"/>
          <w:szCs w:val="32"/>
          <w:highlight w:val="none"/>
        </w:rPr>
        <w:t>，结合</w:t>
      </w:r>
      <w:r>
        <w:rPr>
          <w:rFonts w:hint="default" w:ascii="Times New Roman" w:hAnsi="Times New Roman" w:eastAsia="仿宋" w:cs="Times New Roman"/>
          <w:color w:val="auto"/>
          <w:sz w:val="32"/>
          <w:szCs w:val="32"/>
          <w:highlight w:val="none"/>
          <w:lang w:val="en-US" w:eastAsia="zh-CN"/>
        </w:rPr>
        <w:t>相关情况</w:t>
      </w:r>
      <w:r>
        <w:rPr>
          <w:rFonts w:hint="default" w:ascii="Times New Roman" w:hAnsi="Times New Roman" w:eastAsia="仿宋" w:cs="Times New Roman"/>
          <w:color w:val="auto"/>
          <w:sz w:val="32"/>
          <w:szCs w:val="32"/>
          <w:highlight w:val="none"/>
        </w:rPr>
        <w:t>，经仔细研究决定，我方（单位</w:t>
      </w:r>
      <w:r>
        <w:rPr>
          <w:rFonts w:hint="default" w:ascii="Times New Roman" w:hAnsi="Times New Roman" w:eastAsia="仿宋" w:cs="Times New Roman"/>
          <w:color w:val="auto"/>
          <w:sz w:val="32"/>
          <w:szCs w:val="32"/>
          <w:highlight w:val="none"/>
          <w:lang w:eastAsia="zh-CN"/>
        </w:rPr>
        <w:t>名称</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none"/>
          <w:lang w:val="en-US" w:eastAsia="zh-CN"/>
        </w:rPr>
        <w:t>关于贵司该项目</w:t>
      </w:r>
      <w:r>
        <w:rPr>
          <w:rFonts w:hint="eastAsia" w:ascii="Times New Roman" w:hAnsi="Times New Roman" w:eastAsia="仿宋" w:cs="Times New Roman"/>
          <w:color w:val="auto"/>
          <w:sz w:val="32"/>
          <w:szCs w:val="32"/>
          <w:highlight w:val="none"/>
          <w:u w:val="none"/>
          <w:lang w:val="en-US" w:eastAsia="zh-CN"/>
        </w:rPr>
        <w:t>材料</w:t>
      </w:r>
      <w:r>
        <w:rPr>
          <w:rFonts w:hint="default" w:ascii="Times New Roman" w:hAnsi="Times New Roman" w:eastAsia="仿宋" w:cs="Times New Roman"/>
          <w:color w:val="auto"/>
          <w:sz w:val="32"/>
          <w:szCs w:val="32"/>
          <w:highlight w:val="none"/>
          <w:u w:val="none"/>
          <w:lang w:val="en-US" w:eastAsia="zh-CN"/>
        </w:rPr>
        <w:t>报价</w:t>
      </w:r>
      <w:r>
        <w:rPr>
          <w:rFonts w:hint="default" w:ascii="Times New Roman" w:hAnsi="Times New Roman" w:eastAsia="仿宋" w:cs="Times New Roman"/>
          <w:color w:val="auto"/>
          <w:sz w:val="32"/>
          <w:szCs w:val="32"/>
          <w:highlight w:val="none"/>
        </w:rPr>
        <w:t>为</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元</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lang w:val="en-US" w:eastAsia="zh-CN"/>
        </w:rPr>
        <w:t>含税价</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u w:val="none"/>
        </w:rPr>
        <w:t>大写：</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lang w:val="en-US" w:eastAsia="zh-CN"/>
        </w:rPr>
        <w:t>税率</w:t>
      </w:r>
      <w:r>
        <w:rPr>
          <w:rFonts w:hint="default" w:ascii="Times New Roman" w:hAnsi="Times New Roman" w:eastAsia="仿宋" w:cs="Times New Roman"/>
          <w:b w:val="0"/>
          <w:color w:val="auto"/>
          <w:sz w:val="32"/>
          <w:szCs w:val="32"/>
          <w:highlight w:val="none"/>
          <w:u w:val="single"/>
        </w:rPr>
        <w:t xml:space="preserve">  </w:t>
      </w:r>
      <w:r>
        <w:rPr>
          <w:rFonts w:hint="eastAsia" w:eastAsia="仿宋" w:cs="Times New Roman"/>
          <w:b w:val="0"/>
          <w:color w:val="auto"/>
          <w:sz w:val="32"/>
          <w:szCs w:val="32"/>
          <w:highlight w:val="none"/>
          <w:u w:val="single"/>
          <w:lang w:val="en-US" w:eastAsia="zh-CN"/>
        </w:rPr>
        <w:t xml:space="preserve">13% </w:t>
      </w:r>
      <w:r>
        <w:rPr>
          <w:rFonts w:hint="default" w:ascii="Times New Roman" w:hAnsi="Times New Roman" w:eastAsia="仿宋" w:cs="Times New Roman"/>
          <w:b w:val="0"/>
          <w:color w:val="auto"/>
          <w:sz w:val="32"/>
          <w:szCs w:val="32"/>
          <w:highlight w:val="none"/>
          <w:u w:val="single"/>
          <w:lang w:val="en-US" w:eastAsia="zh-CN"/>
        </w:rPr>
        <w:t xml:space="preserve"> </w:t>
      </w:r>
      <w:r>
        <w:rPr>
          <w:rFonts w:hint="default" w:ascii="Times New Roman" w:hAnsi="Times New Roman" w:eastAsia="仿宋" w:cs="Times New Roman"/>
          <w:b w:val="0"/>
          <w:color w:val="auto"/>
          <w:sz w:val="32"/>
          <w:szCs w:val="32"/>
          <w:highlight w:val="none"/>
        </w:rPr>
        <w:t>。</w:t>
      </w:r>
    </w:p>
    <w:p w14:paraId="36304BD2">
      <w:pPr>
        <w:spacing w:line="480" w:lineRule="auto"/>
        <w:rPr>
          <w:rFonts w:hint="default" w:ascii="Times New Roman" w:hAnsi="Times New Roman" w:eastAsia="仿宋" w:cs="Times New Roman"/>
          <w:color w:val="auto"/>
          <w:sz w:val="32"/>
          <w:szCs w:val="32"/>
          <w:highlight w:val="none"/>
        </w:rPr>
      </w:pPr>
    </w:p>
    <w:p w14:paraId="364FBCCD">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21"/>
          <w:szCs w:val="21"/>
          <w:highlight w:val="none"/>
          <w:lang w:val="en-US" w:eastAsia="zh-CN"/>
        </w:rPr>
        <w:t>注：</w:t>
      </w:r>
      <w:r>
        <w:rPr>
          <w:rFonts w:hint="default" w:ascii="Times New Roman" w:hAnsi="Times New Roman" w:eastAsia="仿宋_GB2312" w:cs="Times New Roman"/>
          <w:color w:val="auto"/>
          <w:sz w:val="21"/>
          <w:szCs w:val="21"/>
          <w:highlight w:val="none"/>
          <w:lang w:val="en-US" w:eastAsia="zh-CN"/>
        </w:rPr>
        <w:t>所有报价均用人民币表示，该单价为固定综合单价，包括但不限于运输费、上下车费、安装费</w:t>
      </w:r>
      <w:r>
        <w:rPr>
          <w:rFonts w:hint="eastAsia"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管理费、利润、税金等为完成本项目材料供应的所有费用。</w:t>
      </w:r>
    </w:p>
    <w:p w14:paraId="0860BB4E">
      <w:pPr>
        <w:rPr>
          <w:rFonts w:hint="default" w:ascii="Times New Roman" w:hAnsi="Times New Roman" w:eastAsia="仿宋_GB2312" w:cs="Times New Roman"/>
          <w:color w:val="auto"/>
          <w:sz w:val="32"/>
          <w:szCs w:val="32"/>
          <w:highlight w:val="none"/>
        </w:rPr>
      </w:pPr>
    </w:p>
    <w:p w14:paraId="6B7FECD4">
      <w:pPr>
        <w:pStyle w:val="3"/>
        <w:rPr>
          <w:rFonts w:hint="default" w:ascii="Times New Roman" w:hAnsi="Times New Roman" w:eastAsia="仿宋_GB2312" w:cs="Times New Roman"/>
          <w:color w:val="auto"/>
          <w:sz w:val="32"/>
          <w:szCs w:val="32"/>
          <w:highlight w:val="none"/>
        </w:rPr>
      </w:pPr>
    </w:p>
    <w:p w14:paraId="52A25B82">
      <w:pPr>
        <w:rPr>
          <w:rFonts w:hint="default" w:ascii="Times New Roman" w:hAnsi="Times New Roman" w:eastAsia="仿宋_GB2312" w:cs="Times New Roman"/>
          <w:color w:val="auto"/>
          <w:sz w:val="32"/>
          <w:szCs w:val="32"/>
          <w:highlight w:val="none"/>
        </w:rPr>
      </w:pPr>
    </w:p>
    <w:p w14:paraId="4E166446">
      <w:pPr>
        <w:pStyle w:val="3"/>
        <w:rPr>
          <w:rFonts w:hint="default" w:ascii="Times New Roman" w:hAnsi="Times New Roman" w:cs="Times New Roman"/>
        </w:rPr>
      </w:pPr>
    </w:p>
    <w:p w14:paraId="516939AA">
      <w:pPr>
        <w:rPr>
          <w:rFonts w:hint="default" w:ascii="Times New Roman" w:hAnsi="Times New Roman" w:cs="Times New Roman"/>
          <w:highlight w:val="none"/>
        </w:rPr>
      </w:pPr>
    </w:p>
    <w:p w14:paraId="0F07C88F">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55634C97">
      <w:pPr>
        <w:adjustRightInd w:val="0"/>
        <w:spacing w:line="480" w:lineRule="auto"/>
        <w:ind w:firstLine="2240" w:firstLineChars="7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单位名称：</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（盖单位公章）</w:t>
      </w:r>
    </w:p>
    <w:p w14:paraId="4BAAE386">
      <w:pPr>
        <w:bidi w:val="0"/>
        <w:ind w:firstLine="2240" w:firstLineChars="7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Cs/>
          <w:color w:val="auto"/>
          <w:sz w:val="32"/>
          <w:szCs w:val="32"/>
          <w:highlight w:val="none"/>
        </w:rPr>
        <w:t>日  期：</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日</w:t>
      </w:r>
    </w:p>
    <w:p w14:paraId="01FDF53E">
      <w:pPr>
        <w:pStyle w:val="3"/>
        <w:rPr>
          <w:rFonts w:hint="default" w:ascii="Times New Roman" w:hAnsi="Times New Roman" w:eastAsia="仿宋" w:cs="Times New Roman"/>
          <w:lang w:val="en-US" w:eastAsia="zh-CN"/>
        </w:rPr>
      </w:pPr>
    </w:p>
    <w:p w14:paraId="506B69E6">
      <w:pPr>
        <w:rPr>
          <w:rFonts w:hint="default" w:ascii="Times New Roman" w:hAnsi="Times New Roman" w:cs="Times New Roman"/>
          <w:lang w:val="en-US" w:eastAsia="zh-CN"/>
        </w:rPr>
      </w:pPr>
    </w:p>
    <w:p w14:paraId="4CAE6F67">
      <w:pPr>
        <w:pStyle w:val="3"/>
        <w:rPr>
          <w:rFonts w:hint="default" w:ascii="Times New Roman" w:hAnsi="Times New Roman" w:cs="Times New Roman"/>
          <w:lang w:val="en-US" w:eastAsia="zh-CN"/>
        </w:rPr>
      </w:pPr>
    </w:p>
    <w:p w14:paraId="234CCCB2">
      <w:pPr>
        <w:rPr>
          <w:rFonts w:hint="default" w:ascii="Times New Roman" w:hAnsi="Times New Roman" w:cs="Times New Roman"/>
          <w:lang w:val="en-US" w:eastAsia="zh-CN"/>
        </w:rPr>
      </w:pPr>
    </w:p>
    <w:p w14:paraId="73B51027">
      <w:pPr>
        <w:pStyle w:val="3"/>
        <w:rPr>
          <w:rFonts w:hint="default" w:ascii="Times New Roman" w:hAnsi="Times New Roman" w:cs="Times New Roman"/>
          <w:lang w:val="en-US" w:eastAsia="zh-CN"/>
        </w:rPr>
      </w:pPr>
    </w:p>
    <w:p w14:paraId="1656AAAF">
      <w:pPr>
        <w:rPr>
          <w:rFonts w:hint="default" w:ascii="Times New Roman" w:hAnsi="Times New Roman" w:cs="Times New Roman"/>
          <w:lang w:val="en-US" w:eastAsia="zh-CN"/>
        </w:rPr>
      </w:pPr>
    </w:p>
    <w:p w14:paraId="708CCDAC">
      <w:pPr>
        <w:pStyle w:val="3"/>
        <w:rPr>
          <w:rFonts w:hint="default" w:ascii="Times New Roman" w:hAnsi="Times New Roman" w:cs="Times New Roman"/>
          <w:lang w:val="en-US" w:eastAsia="zh-CN"/>
        </w:rPr>
      </w:pPr>
    </w:p>
    <w:p w14:paraId="4741A251">
      <w:pPr>
        <w:rPr>
          <w:rFonts w:hint="default" w:ascii="Times New Roman" w:hAnsi="Times New Roman" w:cs="Times New Roman"/>
          <w:lang w:val="en-US" w:eastAsia="zh-CN"/>
        </w:rPr>
      </w:pPr>
    </w:p>
    <w:p w14:paraId="52C729B4">
      <w:pPr>
        <w:pStyle w:val="3"/>
        <w:rPr>
          <w:rFonts w:hint="default" w:ascii="Times New Roman" w:hAnsi="Times New Roman" w:cs="Times New Roman"/>
          <w:lang w:val="en-US" w:eastAsia="zh-CN"/>
        </w:rPr>
      </w:pPr>
    </w:p>
    <w:p w14:paraId="529D68D2">
      <w:pPr>
        <w:rPr>
          <w:rFonts w:hint="default" w:ascii="Times New Roman" w:hAnsi="Times New Roman" w:cs="Times New Roman"/>
          <w:lang w:val="en-US" w:eastAsia="zh-CN"/>
        </w:rPr>
      </w:pPr>
    </w:p>
    <w:p w14:paraId="13DF8519">
      <w:pPr>
        <w:pStyle w:val="3"/>
        <w:rPr>
          <w:rFonts w:hint="eastAsia" w:cs="Times New Roman"/>
          <w:lang w:val="en-US" w:eastAsia="zh-CN"/>
        </w:rPr>
      </w:pPr>
      <w:r>
        <w:rPr>
          <w:rFonts w:hint="eastAsia" w:cs="Times New Roman"/>
          <w:lang w:val="en-US" w:eastAsia="zh-CN"/>
        </w:rPr>
        <w:t>附件：</w:t>
      </w:r>
    </w:p>
    <w:tbl>
      <w:tblPr>
        <w:tblStyle w:val="8"/>
        <w:tblW w:w="102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870"/>
        <w:gridCol w:w="2115"/>
        <w:gridCol w:w="555"/>
        <w:gridCol w:w="633"/>
        <w:gridCol w:w="1077"/>
        <w:gridCol w:w="1065"/>
        <w:gridCol w:w="3307"/>
      </w:tblGrid>
      <w:tr w14:paraId="06C1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10262"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0DEC53F8">
            <w:pPr>
              <w:keepNext w:val="0"/>
              <w:keepLines w:val="0"/>
              <w:widowControl/>
              <w:suppressLineNumbers w:val="0"/>
              <w:ind w:firstLineChars="100"/>
              <w:jc w:val="center"/>
              <w:textAlignment w:val="top"/>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32"/>
                <w:szCs w:val="32"/>
                <w:u w:val="none"/>
                <w:lang w:val="en-US" w:eastAsia="zh-CN" w:bidi="ar"/>
              </w:rPr>
              <w:t>报价清单表</w:t>
            </w:r>
          </w:p>
        </w:tc>
      </w:tr>
      <w:tr w14:paraId="0411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74F262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90CD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21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54AFE">
            <w:pPr>
              <w:keepNext w:val="0"/>
              <w:keepLines w:val="0"/>
              <w:pageBreakBefore w:val="0"/>
              <w:widowControl/>
              <w:suppressLineNumbers w:val="0"/>
              <w:kinsoku/>
              <w:wordWrap/>
              <w:overflowPunct/>
              <w:topLinePunct w:val="0"/>
              <w:autoSpaceDE/>
              <w:autoSpaceDN/>
              <w:bidi w:val="0"/>
              <w:adjustRightInd/>
              <w:snapToGrid/>
              <w:ind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材质</w:t>
            </w:r>
            <w:r>
              <w:rPr>
                <w:rFonts w:hint="default" w:ascii="Times New Roman" w:hAnsi="Times New Roman" w:eastAsia="仿宋_GB2312" w:cs="Times New Roman"/>
                <w:i w:val="0"/>
                <w:iCs w:val="0"/>
                <w:color w:val="000000"/>
                <w:kern w:val="0"/>
                <w:sz w:val="21"/>
                <w:szCs w:val="21"/>
                <w:u w:val="none"/>
                <w:lang w:val="en-US" w:eastAsia="zh-CN" w:bidi="ar"/>
              </w:rPr>
              <w:t>/</w:t>
            </w:r>
            <w:r>
              <w:rPr>
                <w:rStyle w:val="10"/>
                <w:rFonts w:hAnsi="宋体"/>
                <w:lang w:val="en-US" w:eastAsia="zh-CN" w:bidi="ar"/>
              </w:rPr>
              <w:t>颜色</w:t>
            </w:r>
            <w:r>
              <w:rPr>
                <w:rFonts w:hint="default" w:ascii="Times New Roman" w:hAnsi="Times New Roman" w:eastAsia="仿宋_GB2312" w:cs="Times New Roman"/>
                <w:i w:val="0"/>
                <w:iCs w:val="0"/>
                <w:color w:val="000000"/>
                <w:kern w:val="0"/>
                <w:sz w:val="21"/>
                <w:szCs w:val="21"/>
                <w:u w:val="none"/>
                <w:lang w:val="en-US" w:eastAsia="zh-CN" w:bidi="ar"/>
              </w:rPr>
              <w:t>/</w:t>
            </w:r>
            <w:r>
              <w:rPr>
                <w:rStyle w:val="10"/>
                <w:rFonts w:hAnsi="宋体"/>
                <w:lang w:val="en-US" w:eastAsia="zh-CN" w:bidi="ar"/>
              </w:rPr>
              <w:t>规格型号</w:t>
            </w:r>
          </w:p>
        </w:tc>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AD2E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w:t>
            </w:r>
          </w:p>
        </w:tc>
        <w:tc>
          <w:tcPr>
            <w:tcW w:w="6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2BE5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税率</w:t>
            </w:r>
          </w:p>
        </w:tc>
        <w:tc>
          <w:tcPr>
            <w:tcW w:w="1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EE35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含税单价（元）</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D72E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含税总价</w:t>
            </w:r>
          </w:p>
          <w:p w14:paraId="18C5FB0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（元）</w:t>
            </w:r>
          </w:p>
        </w:tc>
        <w:tc>
          <w:tcPr>
            <w:tcW w:w="33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5067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14:paraId="6246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4"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4403906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04E249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成品岗亭</w:t>
            </w:r>
          </w:p>
        </w:tc>
        <w:tc>
          <w:tcPr>
            <w:tcW w:w="2115" w:type="dxa"/>
            <w:tcBorders>
              <w:top w:val="nil"/>
              <w:left w:val="single" w:color="000000" w:sz="8" w:space="0"/>
              <w:bottom w:val="single" w:color="000000" w:sz="8" w:space="0"/>
              <w:right w:val="single" w:color="000000" w:sz="8" w:space="0"/>
            </w:tcBorders>
            <w:shd w:val="clear" w:color="auto" w:fill="auto"/>
            <w:vAlign w:val="top"/>
          </w:tcPr>
          <w:p w14:paraId="346C7D9C">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镀锌钢板包集成墙板，镀锌钢表面刷真石漆、单层钢化玻璃；</w:t>
            </w:r>
          </w:p>
          <w:p w14:paraId="30A749E4">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2*2*2.8m</w:t>
            </w:r>
            <w:r>
              <w:rPr>
                <w:rStyle w:val="10"/>
                <w:rFonts w:hAnsi="Times New Roman"/>
                <w:lang w:val="en-US" w:eastAsia="zh-CN" w:bidi="ar"/>
              </w:rPr>
              <w:t>；</w:t>
            </w:r>
          </w:p>
          <w:p w14:paraId="311D9A90">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不含室内配套设施，不含玻璃防爆膜、防晒膜、室外灯具；</w:t>
            </w:r>
          </w:p>
        </w:tc>
        <w:tc>
          <w:tcPr>
            <w:tcW w:w="555" w:type="dxa"/>
            <w:tcBorders>
              <w:top w:val="nil"/>
              <w:left w:val="single" w:color="000000" w:sz="8" w:space="0"/>
              <w:bottom w:val="single" w:color="000000" w:sz="8" w:space="0"/>
              <w:right w:val="single" w:color="000000" w:sz="8" w:space="0"/>
            </w:tcBorders>
            <w:shd w:val="clear" w:color="auto" w:fill="auto"/>
            <w:vAlign w:val="center"/>
          </w:tcPr>
          <w:p w14:paraId="6F43967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33" w:type="dxa"/>
            <w:tcBorders>
              <w:top w:val="nil"/>
              <w:left w:val="single" w:color="000000" w:sz="8" w:space="0"/>
              <w:bottom w:val="single" w:color="000000" w:sz="8" w:space="0"/>
              <w:right w:val="single" w:color="000000" w:sz="8" w:space="0"/>
            </w:tcBorders>
            <w:shd w:val="clear" w:color="auto" w:fill="auto"/>
            <w:vAlign w:val="center"/>
          </w:tcPr>
          <w:p w14:paraId="7BC2797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77" w:type="dxa"/>
            <w:tcBorders>
              <w:top w:val="nil"/>
              <w:left w:val="single" w:color="000000" w:sz="8" w:space="0"/>
              <w:bottom w:val="single" w:color="000000" w:sz="8" w:space="0"/>
              <w:right w:val="single" w:color="000000" w:sz="8" w:space="0"/>
            </w:tcBorders>
            <w:shd w:val="clear" w:color="auto" w:fill="auto"/>
            <w:vAlign w:val="center"/>
          </w:tcPr>
          <w:p w14:paraId="69BCCABC">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415F2654">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3307" w:type="dxa"/>
            <w:tcBorders>
              <w:top w:val="nil"/>
              <w:left w:val="single" w:color="000000" w:sz="8" w:space="0"/>
              <w:bottom w:val="single" w:color="000000" w:sz="8" w:space="0"/>
              <w:right w:val="single" w:color="000000" w:sz="8" w:space="0"/>
            </w:tcBorders>
            <w:shd w:val="clear" w:color="auto" w:fill="auto"/>
            <w:vAlign w:val="center"/>
          </w:tcPr>
          <w:p w14:paraId="5F69E635">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r>
              <w:drawing>
                <wp:inline distT="0" distB="0" distL="114300" distR="114300">
                  <wp:extent cx="2086610" cy="1695450"/>
                  <wp:effectExtent l="0" t="0" r="889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r:link="rId9"/>
                          <a:stretch>
                            <a:fillRect/>
                          </a:stretch>
                        </pic:blipFill>
                        <pic:spPr>
                          <a:xfrm>
                            <a:off x="0" y="0"/>
                            <a:ext cx="2086610" cy="1695450"/>
                          </a:xfrm>
                          <a:prstGeom prst="rect">
                            <a:avLst/>
                          </a:prstGeom>
                          <a:noFill/>
                          <a:ln w="9525">
                            <a:noFill/>
                          </a:ln>
                        </pic:spPr>
                      </pic:pic>
                    </a:graphicData>
                  </a:graphic>
                </wp:inline>
              </w:drawing>
            </w:r>
          </w:p>
        </w:tc>
      </w:tr>
      <w:tr w14:paraId="0861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0DD5FEC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3753628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成品组合花箱</w:t>
            </w:r>
          </w:p>
        </w:tc>
        <w:tc>
          <w:tcPr>
            <w:tcW w:w="2115" w:type="dxa"/>
            <w:tcBorders>
              <w:top w:val="nil"/>
              <w:left w:val="single" w:color="000000" w:sz="8" w:space="0"/>
              <w:bottom w:val="single" w:color="000000" w:sz="8" w:space="0"/>
              <w:right w:val="single" w:color="000000" w:sz="8" w:space="0"/>
            </w:tcBorders>
            <w:shd w:val="clear" w:color="auto" w:fill="auto"/>
            <w:vAlign w:val="top"/>
          </w:tcPr>
          <w:p w14:paraId="06180EBD">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不锈钢；</w:t>
            </w:r>
          </w:p>
          <w:p w14:paraId="6D5036F7">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每组</w:t>
            </w: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个</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长</w:t>
            </w:r>
            <w:r>
              <w:rPr>
                <w:rFonts w:hint="default" w:ascii="Times New Roman" w:hAnsi="Times New Roman" w:eastAsia="宋体" w:cs="Times New Roman"/>
                <w:i w:val="0"/>
                <w:iCs w:val="0"/>
                <w:color w:val="000000"/>
                <w:kern w:val="0"/>
                <w:sz w:val="21"/>
                <w:szCs w:val="21"/>
                <w:u w:val="none"/>
                <w:lang w:val="en-US" w:eastAsia="zh-CN" w:bidi="ar"/>
              </w:rPr>
              <w:t>1.14m</w:t>
            </w:r>
            <w:r>
              <w:rPr>
                <w:rStyle w:val="10"/>
                <w:rFonts w:hAnsi="Times New Roman"/>
                <w:lang w:val="en-US" w:eastAsia="zh-CN" w:bidi="ar"/>
              </w:rPr>
              <w:t>，宽</w:t>
            </w:r>
            <w:r>
              <w:rPr>
                <w:rFonts w:hint="default" w:ascii="Times New Roman" w:hAnsi="Times New Roman" w:eastAsia="宋体" w:cs="Times New Roman"/>
                <w:i w:val="0"/>
                <w:iCs w:val="0"/>
                <w:color w:val="000000"/>
                <w:kern w:val="0"/>
                <w:sz w:val="21"/>
                <w:szCs w:val="21"/>
                <w:u w:val="none"/>
                <w:lang w:val="en-US" w:eastAsia="zh-CN" w:bidi="ar"/>
              </w:rPr>
              <w:t>0.6m,</w:t>
            </w:r>
            <w:r>
              <w:rPr>
                <w:rStyle w:val="10"/>
                <w:rFonts w:hAnsi="Times New Roman"/>
                <w:lang w:val="en-US" w:eastAsia="zh-CN" w:bidi="ar"/>
              </w:rPr>
              <w:t xml:space="preserve">高 </w:t>
            </w:r>
            <w:r>
              <w:rPr>
                <w:rFonts w:hint="default" w:ascii="Times New Roman" w:hAnsi="Times New Roman" w:eastAsia="宋体" w:cs="Times New Roman"/>
                <w:i w:val="0"/>
                <w:iCs w:val="0"/>
                <w:color w:val="000000"/>
                <w:kern w:val="0"/>
                <w:sz w:val="21"/>
                <w:szCs w:val="21"/>
                <w:u w:val="none"/>
                <w:lang w:val="en-US" w:eastAsia="zh-CN" w:bidi="ar"/>
              </w:rPr>
              <w:t>0.9m</w:t>
            </w:r>
            <w:r>
              <w:rPr>
                <w:rStyle w:val="10"/>
                <w:rFonts w:hAnsi="Times New Roman"/>
                <w:lang w:val="en-US" w:eastAsia="zh-CN" w:bidi="ar"/>
              </w:rPr>
              <w:t>；</w:t>
            </w:r>
          </w:p>
          <w:p w14:paraId="5A812BF1">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颜色</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 xml:space="preserve">深咖色，种植深度 </w:t>
            </w:r>
            <w:r>
              <w:rPr>
                <w:rFonts w:hint="default" w:ascii="Times New Roman" w:hAnsi="Times New Roman" w:eastAsia="宋体" w:cs="Times New Roman"/>
                <w:i w:val="0"/>
                <w:iCs w:val="0"/>
                <w:color w:val="000000"/>
                <w:kern w:val="0"/>
                <w:sz w:val="21"/>
                <w:szCs w:val="21"/>
                <w:u w:val="none"/>
                <w:lang w:val="en-US" w:eastAsia="zh-CN" w:bidi="ar"/>
              </w:rPr>
              <w:t>25-30</w:t>
            </w:r>
            <w:r>
              <w:rPr>
                <w:rStyle w:val="10"/>
                <w:rFonts w:hAnsi="Times New Roman"/>
                <w:lang w:val="en-US" w:eastAsia="zh-CN" w:bidi="ar"/>
              </w:rPr>
              <w:t>厘米左右；</w:t>
            </w:r>
          </w:p>
        </w:tc>
        <w:tc>
          <w:tcPr>
            <w:tcW w:w="555" w:type="dxa"/>
            <w:tcBorders>
              <w:top w:val="nil"/>
              <w:left w:val="single" w:color="000000" w:sz="8" w:space="0"/>
              <w:bottom w:val="single" w:color="000000" w:sz="8" w:space="0"/>
              <w:right w:val="single" w:color="000000" w:sz="8" w:space="0"/>
            </w:tcBorders>
            <w:shd w:val="clear" w:color="auto" w:fill="auto"/>
            <w:vAlign w:val="center"/>
          </w:tcPr>
          <w:p w14:paraId="09DC0FB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633" w:type="dxa"/>
            <w:tcBorders>
              <w:top w:val="nil"/>
              <w:left w:val="single" w:color="000000" w:sz="8" w:space="0"/>
              <w:bottom w:val="single" w:color="000000" w:sz="8" w:space="0"/>
              <w:right w:val="single" w:color="000000" w:sz="8" w:space="0"/>
            </w:tcBorders>
            <w:shd w:val="clear" w:color="auto" w:fill="auto"/>
            <w:vAlign w:val="center"/>
          </w:tcPr>
          <w:p w14:paraId="4EE408F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77" w:type="dxa"/>
            <w:tcBorders>
              <w:top w:val="nil"/>
              <w:left w:val="single" w:color="000000" w:sz="8" w:space="0"/>
              <w:bottom w:val="single" w:color="000000" w:sz="8" w:space="0"/>
              <w:right w:val="single" w:color="000000" w:sz="8" w:space="0"/>
            </w:tcBorders>
            <w:shd w:val="clear" w:color="auto" w:fill="auto"/>
            <w:vAlign w:val="center"/>
          </w:tcPr>
          <w:p w14:paraId="71828451">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4DE81548">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3307" w:type="dxa"/>
            <w:tcBorders>
              <w:top w:val="nil"/>
              <w:left w:val="single" w:color="000000" w:sz="8" w:space="0"/>
              <w:bottom w:val="single" w:color="000000" w:sz="8" w:space="0"/>
              <w:right w:val="single" w:color="000000" w:sz="8" w:space="0"/>
            </w:tcBorders>
            <w:shd w:val="clear" w:color="auto" w:fill="auto"/>
            <w:vAlign w:val="center"/>
          </w:tcPr>
          <w:p w14:paraId="436E6733">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宋体" w:cs="Times New Roman"/>
                <w:i w:val="0"/>
                <w:iCs w:val="0"/>
                <w:color w:val="000000"/>
                <w:sz w:val="21"/>
                <w:szCs w:val="21"/>
                <w:u w:val="none"/>
              </w:rPr>
            </w:pPr>
            <w:r>
              <w:drawing>
                <wp:inline distT="0" distB="0" distL="114300" distR="114300">
                  <wp:extent cx="1905000" cy="11239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r:link="rId11"/>
                          <a:stretch>
                            <a:fillRect/>
                          </a:stretch>
                        </pic:blipFill>
                        <pic:spPr>
                          <a:xfrm>
                            <a:off x="0" y="0"/>
                            <a:ext cx="1905000" cy="1123950"/>
                          </a:xfrm>
                          <a:prstGeom prst="rect">
                            <a:avLst/>
                          </a:prstGeom>
                          <a:noFill/>
                          <a:ln w="9525">
                            <a:noFill/>
                          </a:ln>
                        </pic:spPr>
                      </pic:pic>
                    </a:graphicData>
                  </a:graphic>
                </wp:inline>
              </w:drawing>
            </w:r>
          </w:p>
        </w:tc>
      </w:tr>
      <w:tr w14:paraId="51E0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7BA69D2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30A6847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成品室外太阳伞</w:t>
            </w:r>
          </w:p>
        </w:tc>
        <w:tc>
          <w:tcPr>
            <w:tcW w:w="2115" w:type="dxa"/>
            <w:tcBorders>
              <w:top w:val="nil"/>
              <w:left w:val="single" w:color="000000" w:sz="8" w:space="0"/>
              <w:bottom w:val="single" w:color="000000" w:sz="8" w:space="0"/>
              <w:right w:val="single" w:color="000000" w:sz="8" w:space="0"/>
            </w:tcBorders>
            <w:shd w:val="clear" w:color="auto" w:fill="auto"/>
            <w:vAlign w:val="top"/>
          </w:tcPr>
          <w:p w14:paraId="308BD8B4">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金属；</w:t>
            </w:r>
          </w:p>
          <w:p w14:paraId="4676729E">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阳伞直径</w:t>
            </w:r>
            <w:r>
              <w:rPr>
                <w:rFonts w:hint="default" w:ascii="Times New Roman" w:hAnsi="Times New Roman" w:eastAsia="宋体" w:cs="Times New Roman"/>
                <w:i w:val="0"/>
                <w:iCs w:val="0"/>
                <w:color w:val="000000"/>
                <w:kern w:val="0"/>
                <w:sz w:val="21"/>
                <w:szCs w:val="21"/>
                <w:u w:val="none"/>
                <w:lang w:val="en-US" w:eastAsia="zh-CN" w:bidi="ar"/>
              </w:rPr>
              <w:t>3m</w:t>
            </w:r>
            <w:r>
              <w:rPr>
                <w:rStyle w:val="10"/>
                <w:rFonts w:hAnsi="Times New Roman"/>
                <w:lang w:val="en-US" w:eastAsia="zh-CN" w:bidi="ar"/>
              </w:rPr>
              <w:t>；</w:t>
            </w:r>
          </w:p>
          <w:p w14:paraId="4FF274DB">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配一桌四椅，椅子为铝合金网布椅子，长</w:t>
            </w:r>
            <w:r>
              <w:rPr>
                <w:rFonts w:hint="default" w:ascii="Times New Roman" w:hAnsi="Times New Roman" w:eastAsia="宋体" w:cs="Times New Roman"/>
                <w:i w:val="0"/>
                <w:iCs w:val="0"/>
                <w:color w:val="000000"/>
                <w:kern w:val="0"/>
                <w:sz w:val="21"/>
                <w:szCs w:val="21"/>
                <w:u w:val="none"/>
                <w:lang w:val="en-US" w:eastAsia="zh-CN" w:bidi="ar"/>
              </w:rPr>
              <w:t>0.525m</w:t>
            </w:r>
            <w:r>
              <w:rPr>
                <w:rStyle w:val="10"/>
                <w:rFonts w:hAnsi="Times New Roman"/>
                <w:lang w:val="en-US" w:eastAsia="zh-CN" w:bidi="ar"/>
              </w:rPr>
              <w:t>，宽</w:t>
            </w:r>
            <w:r>
              <w:rPr>
                <w:rFonts w:hint="default" w:ascii="Times New Roman" w:hAnsi="Times New Roman" w:eastAsia="宋体" w:cs="Times New Roman"/>
                <w:i w:val="0"/>
                <w:iCs w:val="0"/>
                <w:color w:val="000000"/>
                <w:kern w:val="0"/>
                <w:sz w:val="21"/>
                <w:szCs w:val="21"/>
                <w:u w:val="none"/>
                <w:lang w:val="en-US" w:eastAsia="zh-CN" w:bidi="ar"/>
              </w:rPr>
              <w:t>0.59m</w:t>
            </w:r>
            <w:r>
              <w:rPr>
                <w:rStyle w:val="10"/>
                <w:rFonts w:hAnsi="Times New Roman"/>
                <w:lang w:val="en-US" w:eastAsia="zh-CN" w:bidi="ar"/>
              </w:rPr>
              <w:t>，高</w:t>
            </w:r>
            <w:r>
              <w:rPr>
                <w:rFonts w:hint="default" w:ascii="Times New Roman" w:hAnsi="Times New Roman" w:eastAsia="宋体" w:cs="Times New Roman"/>
                <w:i w:val="0"/>
                <w:iCs w:val="0"/>
                <w:color w:val="000000"/>
                <w:kern w:val="0"/>
                <w:sz w:val="21"/>
                <w:szCs w:val="21"/>
                <w:u w:val="none"/>
                <w:lang w:val="en-US" w:eastAsia="zh-CN" w:bidi="ar"/>
              </w:rPr>
              <w:t>85cm</w:t>
            </w:r>
            <w:r>
              <w:rPr>
                <w:rStyle w:val="10"/>
                <w:rFonts w:hAnsi="Times New Roman"/>
                <w:lang w:val="en-US" w:eastAsia="zh-CN" w:bidi="ar"/>
              </w:rPr>
              <w:t>；桌子为铝合金长方桌，长度</w:t>
            </w:r>
            <w:r>
              <w:rPr>
                <w:rFonts w:hint="default" w:ascii="Times New Roman" w:hAnsi="Times New Roman" w:eastAsia="宋体" w:cs="Times New Roman"/>
                <w:i w:val="0"/>
                <w:iCs w:val="0"/>
                <w:color w:val="000000"/>
                <w:kern w:val="0"/>
                <w:sz w:val="21"/>
                <w:szCs w:val="21"/>
                <w:u w:val="none"/>
                <w:lang w:val="en-US" w:eastAsia="zh-CN" w:bidi="ar"/>
              </w:rPr>
              <w:t>160cm</w:t>
            </w:r>
            <w:r>
              <w:rPr>
                <w:rStyle w:val="10"/>
                <w:rFonts w:hAnsi="Times New Roman"/>
                <w:lang w:val="en-US" w:eastAsia="zh-CN" w:bidi="ar"/>
              </w:rPr>
              <w:t>，宽度</w:t>
            </w:r>
            <w:r>
              <w:rPr>
                <w:rFonts w:hint="default" w:ascii="Times New Roman" w:hAnsi="Times New Roman" w:eastAsia="宋体" w:cs="Times New Roman"/>
                <w:i w:val="0"/>
                <w:iCs w:val="0"/>
                <w:color w:val="000000"/>
                <w:kern w:val="0"/>
                <w:sz w:val="21"/>
                <w:szCs w:val="21"/>
                <w:u w:val="none"/>
                <w:lang w:val="en-US" w:eastAsia="zh-CN" w:bidi="ar"/>
              </w:rPr>
              <w:t>90cm</w:t>
            </w:r>
            <w:r>
              <w:rPr>
                <w:rStyle w:val="10"/>
                <w:rFonts w:hAnsi="Times New Roman"/>
                <w:lang w:val="en-US" w:eastAsia="zh-CN" w:bidi="ar"/>
              </w:rPr>
              <w:t>；</w:t>
            </w:r>
          </w:p>
        </w:tc>
        <w:tc>
          <w:tcPr>
            <w:tcW w:w="555" w:type="dxa"/>
            <w:tcBorders>
              <w:top w:val="nil"/>
              <w:left w:val="single" w:color="000000" w:sz="8" w:space="0"/>
              <w:bottom w:val="single" w:color="000000" w:sz="8" w:space="0"/>
              <w:right w:val="single" w:color="000000" w:sz="8" w:space="0"/>
            </w:tcBorders>
            <w:shd w:val="clear" w:color="auto" w:fill="auto"/>
            <w:vAlign w:val="center"/>
          </w:tcPr>
          <w:p w14:paraId="09C091C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33" w:type="dxa"/>
            <w:tcBorders>
              <w:top w:val="nil"/>
              <w:left w:val="single" w:color="000000" w:sz="8" w:space="0"/>
              <w:bottom w:val="single" w:color="000000" w:sz="8" w:space="0"/>
              <w:right w:val="single" w:color="000000" w:sz="8" w:space="0"/>
            </w:tcBorders>
            <w:shd w:val="clear" w:color="auto" w:fill="auto"/>
            <w:vAlign w:val="center"/>
          </w:tcPr>
          <w:p w14:paraId="149FC41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77" w:type="dxa"/>
            <w:tcBorders>
              <w:top w:val="nil"/>
              <w:left w:val="single" w:color="000000" w:sz="8" w:space="0"/>
              <w:bottom w:val="single" w:color="000000" w:sz="8" w:space="0"/>
              <w:right w:val="single" w:color="000000" w:sz="8" w:space="0"/>
            </w:tcBorders>
            <w:shd w:val="clear" w:color="auto" w:fill="auto"/>
            <w:vAlign w:val="center"/>
          </w:tcPr>
          <w:p w14:paraId="690162B1">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372CED70">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3307" w:type="dxa"/>
            <w:tcBorders>
              <w:top w:val="nil"/>
              <w:left w:val="single" w:color="000000" w:sz="8" w:space="0"/>
              <w:bottom w:val="single" w:color="000000" w:sz="8" w:space="0"/>
              <w:right w:val="single" w:color="000000" w:sz="8" w:space="0"/>
            </w:tcBorders>
            <w:shd w:val="clear" w:color="auto" w:fill="auto"/>
            <w:vAlign w:val="center"/>
          </w:tcPr>
          <w:p w14:paraId="36657FDE">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宋体" w:cs="Times New Roman"/>
                <w:i w:val="0"/>
                <w:iCs w:val="0"/>
                <w:color w:val="000000"/>
                <w:sz w:val="21"/>
                <w:szCs w:val="21"/>
                <w:u w:val="none"/>
              </w:rPr>
            </w:pPr>
            <w:r>
              <w:drawing>
                <wp:inline distT="0" distB="0" distL="114300" distR="114300">
                  <wp:extent cx="1667510" cy="2171700"/>
                  <wp:effectExtent l="0" t="0" r="889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r:link="rId13"/>
                          <a:stretch>
                            <a:fillRect/>
                          </a:stretch>
                        </pic:blipFill>
                        <pic:spPr>
                          <a:xfrm>
                            <a:off x="0" y="0"/>
                            <a:ext cx="1667510" cy="2171700"/>
                          </a:xfrm>
                          <a:prstGeom prst="rect">
                            <a:avLst/>
                          </a:prstGeom>
                          <a:noFill/>
                          <a:ln w="9525">
                            <a:noFill/>
                          </a:ln>
                        </pic:spPr>
                      </pic:pic>
                    </a:graphicData>
                  </a:graphic>
                </wp:inline>
              </w:drawing>
            </w:r>
          </w:p>
        </w:tc>
      </w:tr>
      <w:tr w14:paraId="3833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5890" w:type="dxa"/>
            <w:gridSpan w:val="6"/>
            <w:tcBorders>
              <w:top w:val="nil"/>
              <w:left w:val="single" w:color="000000" w:sz="8" w:space="0"/>
              <w:bottom w:val="single" w:color="000000" w:sz="8" w:space="0"/>
              <w:right w:val="single" w:color="000000" w:sz="8" w:space="0"/>
            </w:tcBorders>
            <w:shd w:val="clear" w:color="auto" w:fill="auto"/>
            <w:vAlign w:val="center"/>
          </w:tcPr>
          <w:p w14:paraId="49BFB3D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合计：（元）</w:t>
            </w: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01C1BBCB">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3307" w:type="dxa"/>
            <w:tcBorders>
              <w:top w:val="nil"/>
              <w:left w:val="single" w:color="000000" w:sz="8" w:space="0"/>
              <w:bottom w:val="single" w:color="000000" w:sz="8" w:space="0"/>
              <w:right w:val="single" w:color="000000" w:sz="8" w:space="0"/>
            </w:tcBorders>
            <w:shd w:val="clear" w:color="auto" w:fill="auto"/>
            <w:noWrap/>
            <w:vAlign w:val="center"/>
          </w:tcPr>
          <w:p w14:paraId="513F420A">
            <w:pPr>
              <w:keepNext w:val="0"/>
              <w:keepLines w:val="0"/>
              <w:pageBreakBefore w:val="0"/>
              <w:widowControl/>
              <w:kinsoku/>
              <w:wordWrap/>
              <w:overflowPunct/>
              <w:topLinePunct w:val="0"/>
              <w:autoSpaceDE/>
              <w:autoSpaceDN/>
              <w:bidi w:val="0"/>
              <w:adjustRightInd/>
              <w:snapToGrid/>
              <w:ind w:firstLineChars="0"/>
              <w:rPr>
                <w:rFonts w:hint="eastAsia" w:ascii="宋体" w:hAnsi="宋体" w:eastAsia="宋体" w:cs="宋体"/>
                <w:i w:val="0"/>
                <w:iCs w:val="0"/>
                <w:color w:val="000000"/>
                <w:sz w:val="22"/>
                <w:szCs w:val="22"/>
                <w:u w:val="none"/>
              </w:rPr>
            </w:pPr>
          </w:p>
        </w:tc>
      </w:tr>
    </w:tbl>
    <w:p w14:paraId="1EFC3FB5">
      <w:pPr>
        <w:rPr>
          <w:rFonts w:hint="default" w:ascii="Times New Roman" w:hAnsi="Times New Roman" w:eastAsia="黑体" w:cs="Times New Roman"/>
          <w:bCs/>
          <w:color w:val="auto"/>
          <w:sz w:val="32"/>
          <w:szCs w:val="32"/>
          <w:highlight w:val="none"/>
          <w:lang w:eastAsia="zh-CN"/>
        </w:rPr>
      </w:pPr>
    </w:p>
    <w:p w14:paraId="2B32280E">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eastAsia="宋体"/>
          <w:sz w:val="24"/>
          <w:szCs w:val="32"/>
          <w:u w:val="single"/>
          <w:lang w:val="en-US" w:eastAsia="zh-CN"/>
        </w:rPr>
      </w:pPr>
      <w:r>
        <w:rPr>
          <w:rFonts w:hint="eastAsia" w:ascii="Times New Roman" w:hAnsi="Times New Roman" w:eastAsia="仿宋_GB2312" w:cs="Times New Roman"/>
          <w:color w:val="auto"/>
          <w:sz w:val="21"/>
          <w:szCs w:val="21"/>
          <w:highlight w:val="none"/>
          <w:lang w:val="en-US" w:eastAsia="zh-CN"/>
        </w:rPr>
        <w:t>注：</w:t>
      </w:r>
      <w:r>
        <w:rPr>
          <w:rFonts w:hint="eastAsia" w:eastAsia="仿宋_GB2312" w:cs="Times New Roman"/>
          <w:color w:val="auto"/>
          <w:sz w:val="21"/>
          <w:szCs w:val="21"/>
          <w:highlight w:val="none"/>
          <w:lang w:val="en-US" w:eastAsia="zh-CN"/>
        </w:rPr>
        <w:t>所有报价均用人民币表示，该单价为固定综合单价，包括但不限于运输费、上下车费、安装费、管理费、利润、税金等为完成本项目材料供应的所有费用。</w:t>
      </w:r>
    </w:p>
    <w:p w14:paraId="2B738A6A">
      <w:pPr>
        <w:rPr>
          <w:rFonts w:hint="default"/>
          <w:lang w:val="en-US" w:eastAsia="zh-CN"/>
        </w:rPr>
      </w:pPr>
    </w:p>
    <w:p w14:paraId="009B1858">
      <w:pPr>
        <w:rPr>
          <w:rFonts w:hint="default" w:ascii="Times New Roman" w:hAnsi="Times New Roman" w:cs="Times New Roman"/>
          <w:lang w:val="en-US" w:eastAsia="zh-CN"/>
        </w:rPr>
      </w:pPr>
    </w:p>
    <w:p w14:paraId="208D4D5A">
      <w:pPr>
        <w:pStyle w:val="3"/>
        <w:rPr>
          <w:rFonts w:hint="default"/>
          <w:lang w:val="en-US" w:eastAsia="zh-CN"/>
        </w:rPr>
        <w:sectPr>
          <w:pgSz w:w="11906" w:h="16838"/>
          <w:pgMar w:top="1440" w:right="1417" w:bottom="1440" w:left="1800" w:header="851" w:footer="992" w:gutter="0"/>
          <w:cols w:space="425" w:num="1"/>
          <w:docGrid w:type="lines" w:linePitch="312" w:charSpace="0"/>
        </w:sectPr>
      </w:pPr>
    </w:p>
    <w:p w14:paraId="251E0E8C">
      <w:pPr>
        <w:pStyle w:val="6"/>
        <w:ind w:left="0" w:leftChars="0" w:firstLine="0" w:firstLineChars="0"/>
        <w:jc w:val="center"/>
        <w:rPr>
          <w:rFonts w:hint="eastAsia" w:eastAsia="仿宋" w:cs="Times New Roman"/>
          <w:bCs/>
          <w:sz w:val="32"/>
          <w:szCs w:val="32"/>
          <w:highlight w:val="none"/>
          <w:lang w:val="en-US" w:eastAsia="zh-CN"/>
        </w:rPr>
      </w:pPr>
      <w:r>
        <w:rPr>
          <w:rFonts w:hint="eastAsia" w:eastAsia="仿宋" w:cs="Times New Roman"/>
          <w:bCs/>
          <w:sz w:val="32"/>
          <w:szCs w:val="32"/>
          <w:highlight w:val="none"/>
          <w:lang w:val="en-US" w:eastAsia="zh-CN"/>
        </w:rPr>
        <w:t>合同（范本）</w:t>
      </w:r>
    </w:p>
    <w:p w14:paraId="479E1ADF">
      <w:pPr>
        <w:pStyle w:val="6"/>
        <w:ind w:left="0" w:leftChars="0" w:firstLine="0" w:firstLineChars="0"/>
        <w:jc w:val="center"/>
        <w:rPr>
          <w:rFonts w:hint="default" w:eastAsia="仿宋" w:cs="Times New Roman"/>
          <w:bCs/>
          <w:sz w:val="32"/>
          <w:szCs w:val="32"/>
          <w:highlight w:val="none"/>
          <w:lang w:val="en-US" w:eastAsia="zh-CN"/>
        </w:rPr>
      </w:pPr>
      <w:r>
        <w:rPr>
          <w:rFonts w:hint="eastAsia" w:eastAsia="仿宋" w:cs="Times New Roman"/>
          <w:bCs/>
          <w:sz w:val="32"/>
          <w:szCs w:val="32"/>
          <w:highlight w:val="none"/>
          <w:lang w:val="en-US" w:eastAsia="zh-CN"/>
        </w:rPr>
        <w:t>（本合同主要条款作为双方签订合同的参考，但不得与询价文件的实质性内容相背离，以最终签订的合同文本为准。）</w:t>
      </w:r>
    </w:p>
    <w:p w14:paraId="110DDAA6">
      <w:pPr>
        <w:pStyle w:val="2"/>
        <w:rPr>
          <w:rFonts w:ascii="宋体" w:hAnsi="宋体" w:cs="宋体"/>
          <w:sz w:val="28"/>
          <w:szCs w:val="28"/>
          <w:highlight w:val="none"/>
        </w:rPr>
      </w:pPr>
      <w:bookmarkStart w:id="0" w:name="_Toc54012987"/>
      <w:r>
        <w:rPr>
          <w:rFonts w:hint="eastAsia" w:ascii="黑体" w:hAnsi="宋体" w:eastAsia="黑体"/>
          <w:b w:val="0"/>
          <w:bCs w:val="0"/>
          <w:sz w:val="32"/>
          <w:szCs w:val="32"/>
          <w:highlight w:val="none"/>
        </w:rPr>
        <w:t xml:space="preserve"> </w:t>
      </w:r>
      <w:bookmarkEnd w:id="0"/>
      <w:bookmarkStart w:id="1" w:name="_Toc21292"/>
      <w:bookmarkStart w:id="2" w:name="_Toc19141"/>
      <w:bookmarkStart w:id="3" w:name="_Toc10698"/>
      <w:bookmarkStart w:id="4" w:name="_Toc8710"/>
      <w:bookmarkStart w:id="5" w:name="_Toc22994"/>
      <w:bookmarkStart w:id="6" w:name="_Toc10886"/>
      <w:bookmarkStart w:id="7" w:name="_Toc24716"/>
      <w:bookmarkStart w:id="8" w:name="_Toc96096662"/>
      <w:r>
        <w:rPr>
          <w:rFonts w:hint="eastAsia" w:ascii="宋体" w:hAnsi="宋体" w:cs="宋体"/>
          <w:sz w:val="28"/>
          <w:szCs w:val="28"/>
          <w:highlight w:val="none"/>
        </w:rPr>
        <w:t>合同编号：</w:t>
      </w:r>
      <w:bookmarkEnd w:id="1"/>
      <w:bookmarkEnd w:id="2"/>
      <w:bookmarkEnd w:id="3"/>
      <w:bookmarkEnd w:id="4"/>
      <w:bookmarkEnd w:id="5"/>
      <w:bookmarkEnd w:id="6"/>
    </w:p>
    <w:p w14:paraId="33DC493A">
      <w:pPr>
        <w:rPr>
          <w:rFonts w:ascii="宋体" w:hAnsi="宋体" w:cs="宋体"/>
          <w:sz w:val="28"/>
          <w:szCs w:val="28"/>
          <w:highlight w:val="none"/>
        </w:rPr>
      </w:pPr>
    </w:p>
    <w:p w14:paraId="79A046BD">
      <w:pPr>
        <w:pStyle w:val="3"/>
        <w:jc w:val="center"/>
        <w:rPr>
          <w:rFonts w:hint="eastAsia" w:ascii="宋体" w:hAnsi="宋体" w:cs="宋体"/>
          <w:b/>
          <w:bCs/>
          <w:sz w:val="44"/>
          <w:szCs w:val="44"/>
          <w:highlight w:val="none"/>
        </w:rPr>
      </w:pPr>
    </w:p>
    <w:p w14:paraId="70F45EF7">
      <w:pPr>
        <w:pStyle w:val="3"/>
        <w:rPr>
          <w:rFonts w:ascii="宋体" w:hAnsi="宋体"/>
          <w:b/>
          <w:bCs/>
          <w:sz w:val="32"/>
          <w:highlight w:val="none"/>
        </w:rPr>
      </w:pPr>
    </w:p>
    <w:p w14:paraId="39705BD7">
      <w:pPr>
        <w:pStyle w:val="6"/>
        <w:ind w:firstLine="321"/>
        <w:rPr>
          <w:rFonts w:ascii="宋体" w:hAnsi="宋体"/>
          <w:b/>
          <w:bCs/>
          <w:sz w:val="32"/>
          <w:highlight w:val="none"/>
        </w:rPr>
      </w:pPr>
    </w:p>
    <w:p w14:paraId="17AAE863">
      <w:pPr>
        <w:spacing w:line="240" w:lineRule="auto"/>
        <w:jc w:val="center"/>
        <w:outlineLvl w:val="1"/>
        <w:rPr>
          <w:rFonts w:hint="default" w:ascii="方正小标宋简体" w:hAnsi="方正小标宋简体" w:eastAsia="方正小标宋简体" w:cs="方正小标宋简体"/>
          <w:sz w:val="44"/>
          <w:szCs w:val="44"/>
          <w:highlight w:val="none"/>
          <w:lang w:val="en-US"/>
        </w:rPr>
      </w:pPr>
      <w:r>
        <w:rPr>
          <w:rFonts w:hint="eastAsia" w:ascii="宋体" w:hAnsi="宋体" w:cs="宋体"/>
          <w:sz w:val="44"/>
          <w:szCs w:val="44"/>
          <w:highlight w:val="none"/>
          <w:u w:val="single"/>
          <w:lang w:val="en-US" w:eastAsia="zh-CN"/>
        </w:rPr>
        <w:t>广汉市航天航空科技孵化产业园项目-科技孵化中心及科技实验基地成品岗亭、组合花箱等材料采购合同</w:t>
      </w:r>
    </w:p>
    <w:p w14:paraId="1100A5F2">
      <w:pPr>
        <w:pStyle w:val="6"/>
        <w:ind w:firstLine="321"/>
        <w:rPr>
          <w:rFonts w:ascii="宋体" w:hAnsi="宋体"/>
          <w:b/>
          <w:bCs/>
          <w:sz w:val="32"/>
          <w:highlight w:val="none"/>
        </w:rPr>
      </w:pPr>
    </w:p>
    <w:p w14:paraId="4989C937">
      <w:pPr>
        <w:pStyle w:val="6"/>
        <w:ind w:firstLine="321"/>
        <w:rPr>
          <w:rFonts w:ascii="宋体" w:hAnsi="宋体"/>
          <w:b/>
          <w:bCs/>
          <w:sz w:val="32"/>
          <w:highlight w:val="none"/>
        </w:rPr>
      </w:pPr>
    </w:p>
    <w:p w14:paraId="4862F51A">
      <w:pPr>
        <w:pStyle w:val="6"/>
        <w:ind w:firstLine="321"/>
        <w:rPr>
          <w:rFonts w:ascii="宋体" w:hAnsi="宋体"/>
          <w:b/>
          <w:bCs/>
          <w:sz w:val="32"/>
          <w:highlight w:val="none"/>
        </w:rPr>
      </w:pPr>
    </w:p>
    <w:p w14:paraId="08FA165B">
      <w:pPr>
        <w:pStyle w:val="6"/>
        <w:ind w:firstLine="321"/>
        <w:rPr>
          <w:rFonts w:ascii="宋体" w:hAnsi="宋体"/>
          <w:b/>
          <w:bCs/>
          <w:sz w:val="32"/>
          <w:highlight w:val="none"/>
        </w:rPr>
      </w:pPr>
    </w:p>
    <w:p w14:paraId="757A12CE">
      <w:pPr>
        <w:pStyle w:val="6"/>
        <w:ind w:firstLine="321"/>
        <w:rPr>
          <w:rFonts w:ascii="宋体" w:hAnsi="宋体"/>
          <w:b/>
          <w:bCs/>
          <w:sz w:val="32"/>
          <w:highlight w:val="none"/>
        </w:rPr>
      </w:pPr>
    </w:p>
    <w:p w14:paraId="482C6EAD">
      <w:pPr>
        <w:pStyle w:val="6"/>
        <w:ind w:firstLine="0" w:firstLineChars="0"/>
        <w:jc w:val="center"/>
        <w:rPr>
          <w:rFonts w:ascii="黑体" w:hAnsi="黑体" w:eastAsia="黑体" w:cs="黑体"/>
          <w:sz w:val="44"/>
          <w:szCs w:val="44"/>
          <w:highlight w:val="none"/>
        </w:rPr>
        <w:sectPr>
          <w:footerReference r:id="rId6" w:type="first"/>
          <w:footerReference r:id="rId4" w:type="default"/>
          <w:headerReference r:id="rId3" w:type="even"/>
          <w:footerReference r:id="rId5" w:type="even"/>
          <w:pgSz w:w="11906" w:h="16838"/>
          <w:pgMar w:top="779" w:right="1466" w:bottom="779" w:left="1134" w:header="851" w:footer="992" w:gutter="0"/>
          <w:cols w:space="720" w:num="1"/>
          <w:docGrid w:type="lines" w:linePitch="312" w:charSpace="0"/>
        </w:sectPr>
      </w:pPr>
      <w:r>
        <w:rPr>
          <w:rFonts w:hint="eastAsia" w:ascii="宋体" w:hAnsi="宋体" w:cs="宋体"/>
          <w:sz w:val="28"/>
          <w:szCs w:val="28"/>
          <w:highlight w:val="none"/>
        </w:rPr>
        <w:t>签订日期</w:t>
      </w:r>
    </w:p>
    <w:bookmarkEnd w:id="7"/>
    <w:bookmarkEnd w:id="8"/>
    <w:p w14:paraId="4583CB5F">
      <w:pPr>
        <w:spacing w:line="560" w:lineRule="exact"/>
        <w:ind w:left="359" w:leftChars="171" w:right="359" w:rightChars="171" w:firstLine="480" w:firstLineChars="200"/>
        <w:rPr>
          <w:rFonts w:ascii="仿宋" w:hAnsi="仿宋" w:eastAsia="仿宋" w:cs="仿宋"/>
          <w:snapToGrid w:val="0"/>
          <w:color w:val="000000"/>
          <w:kern w:val="0"/>
          <w:sz w:val="24"/>
          <w:highlight w:val="none"/>
        </w:rPr>
      </w:pPr>
      <w:r>
        <w:rPr>
          <w:rFonts w:hint="eastAsia" w:ascii="仿宋" w:hAnsi="仿宋" w:eastAsia="仿宋" w:cs="仿宋"/>
          <w:color w:val="000000"/>
          <w:sz w:val="24"/>
          <w:highlight w:val="none"/>
        </w:rPr>
        <w:t xml:space="preserve">  合同编号：</w:t>
      </w:r>
    </w:p>
    <w:p w14:paraId="7878CD49">
      <w:pPr>
        <w:tabs>
          <w:tab w:val="left" w:pos="567"/>
        </w:tabs>
        <w:spacing w:line="560" w:lineRule="exact"/>
        <w:ind w:firstLine="480" w:firstLineChars="200"/>
        <w:jc w:val="left"/>
        <w:rPr>
          <w:rFonts w:ascii="仿宋" w:hAnsi="仿宋" w:eastAsia="仿宋" w:cs="仿宋"/>
          <w:color w:val="000000"/>
          <w:sz w:val="24"/>
          <w:highlight w:val="none"/>
        </w:rPr>
      </w:pPr>
      <w:r>
        <w:rPr>
          <w:rFonts w:hint="eastAsia" w:ascii="仿宋" w:hAnsi="仿宋" w:eastAsia="仿宋" w:cs="仿宋"/>
          <w:snapToGrid w:val="0"/>
          <w:color w:val="000000"/>
          <w:kern w:val="0"/>
          <w:sz w:val="24"/>
          <w:highlight w:val="none"/>
        </w:rPr>
        <w:t>工程</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人：</w:t>
      </w:r>
      <w:r>
        <w:rPr>
          <w:rFonts w:hint="eastAsia" w:ascii="仿宋" w:hAnsi="仿宋" w:eastAsia="仿宋" w:cs="仿宋"/>
          <w:color w:val="000000"/>
          <w:sz w:val="24"/>
          <w:highlight w:val="none"/>
          <w:u w:val="single"/>
        </w:rPr>
        <w:t xml:space="preserve"> 四川中彩源建设工程有限公司       </w:t>
      </w:r>
      <w:r>
        <w:rPr>
          <w:rFonts w:hint="eastAsia" w:ascii="仿宋" w:hAnsi="仿宋" w:eastAsia="仿宋" w:cs="仿宋"/>
          <w:color w:val="000000"/>
          <w:sz w:val="24"/>
          <w:highlight w:val="none"/>
        </w:rPr>
        <w:t xml:space="preserve">（以下简称甲方）                                               </w:t>
      </w:r>
    </w:p>
    <w:p w14:paraId="1C8E84F1">
      <w:pPr>
        <w:tabs>
          <w:tab w:val="left" w:pos="567"/>
        </w:tabs>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供应商：</w:t>
      </w:r>
      <w:r>
        <w:rPr>
          <w:rFonts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（以下简称乙方）</w:t>
      </w:r>
      <w:r>
        <w:rPr>
          <w:rFonts w:ascii="仿宋" w:hAnsi="仿宋" w:eastAsia="仿宋" w:cs="仿宋"/>
          <w:color w:val="000000"/>
          <w:sz w:val="24"/>
          <w:highlight w:val="none"/>
        </w:rPr>
        <w:t xml:space="preserve">                                                                           </w:t>
      </w:r>
    </w:p>
    <w:p w14:paraId="067633D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依照《中华人民共和国民法典》及其它有关法律、行政法规，甲、乙双方遵循平等、自愿、公平、诚信和互利的原则，经充分协商</w:t>
      </w:r>
      <w:r>
        <w:rPr>
          <w:rFonts w:ascii="仿宋" w:hAnsi="仿宋" w:eastAsia="仿宋" w:cs="仿宋"/>
          <w:bCs/>
          <w:color w:val="000000"/>
          <w:sz w:val="24"/>
          <w:highlight w:val="none"/>
        </w:rPr>
        <w:t>,就甲方</w:t>
      </w:r>
      <w:r>
        <w:rPr>
          <w:rFonts w:hint="eastAsia" w:ascii="仿宋" w:hAnsi="仿宋" w:eastAsia="仿宋" w:cs="仿宋"/>
          <w:bCs/>
          <w:color w:val="000000"/>
          <w:sz w:val="24"/>
          <w:highlight w:val="none"/>
          <w:u w:val="single"/>
          <w:lang w:val="en-US" w:eastAsia="zh-CN"/>
        </w:rPr>
        <w:t xml:space="preserve">    XX项目    </w:t>
      </w:r>
      <w:r>
        <w:rPr>
          <w:rFonts w:hint="eastAsia" w:ascii="仿宋" w:hAnsi="仿宋" w:eastAsia="仿宋" w:cs="仿宋"/>
          <w:bCs/>
          <w:color w:val="000000"/>
          <w:sz w:val="24"/>
          <w:highlight w:val="none"/>
        </w:rPr>
        <w:t>所需</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材料</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的采购事宜，签订本合同，以资共同信守执行。</w:t>
      </w:r>
    </w:p>
    <w:p w14:paraId="0F569AC7">
      <w:pPr>
        <w:numPr>
          <w:ilvl w:val="0"/>
          <w:numId w:val="1"/>
        </w:num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货物及数量</w:t>
      </w:r>
    </w:p>
    <w:p w14:paraId="0B7EA297">
      <w:pPr>
        <w:numPr>
          <w:ilvl w:val="0"/>
          <w:numId w:val="2"/>
        </w:numPr>
        <w:tabs>
          <w:tab w:val="left" w:pos="567"/>
        </w:tabs>
        <w:adjustRightInd w:val="0"/>
        <w:snapToGrid w:val="0"/>
        <w:spacing w:line="560" w:lineRule="exact"/>
        <w:ind w:left="360" w:firstLine="480" w:firstLineChars="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货物的名称、数量、规格、生产厂家等详见下表。</w:t>
      </w:r>
    </w:p>
    <w:tbl>
      <w:tblPr>
        <w:tblStyle w:val="8"/>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870"/>
        <w:gridCol w:w="3108"/>
        <w:gridCol w:w="1090"/>
        <w:gridCol w:w="982"/>
        <w:gridCol w:w="1187"/>
        <w:gridCol w:w="1263"/>
        <w:gridCol w:w="561"/>
      </w:tblGrid>
      <w:tr w14:paraId="2A38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9701"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7620B2B3">
            <w:pPr>
              <w:keepNext w:val="0"/>
              <w:keepLines w:val="0"/>
              <w:widowControl/>
              <w:suppressLineNumbers w:val="0"/>
              <w:ind w:firstLineChars="100"/>
              <w:jc w:val="center"/>
              <w:textAlignment w:val="top"/>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报价清单表</w:t>
            </w:r>
          </w:p>
        </w:tc>
      </w:tr>
      <w:tr w14:paraId="58BF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31694E0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FC4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31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BE702">
            <w:pPr>
              <w:keepNext w:val="0"/>
              <w:keepLines w:val="0"/>
              <w:pageBreakBefore w:val="0"/>
              <w:widowControl/>
              <w:suppressLineNumbers w:val="0"/>
              <w:kinsoku/>
              <w:wordWrap/>
              <w:overflowPunct/>
              <w:topLinePunct w:val="0"/>
              <w:autoSpaceDE/>
              <w:autoSpaceDN/>
              <w:bidi w:val="0"/>
              <w:adjustRightInd/>
              <w:snapToGrid/>
              <w:ind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材质</w:t>
            </w:r>
            <w:r>
              <w:rPr>
                <w:rFonts w:hint="default" w:ascii="Times New Roman" w:hAnsi="Times New Roman" w:eastAsia="仿宋_GB2312" w:cs="Times New Roman"/>
                <w:i w:val="0"/>
                <w:iCs w:val="0"/>
                <w:color w:val="000000"/>
                <w:kern w:val="0"/>
                <w:sz w:val="21"/>
                <w:szCs w:val="21"/>
                <w:u w:val="none"/>
                <w:lang w:val="en-US" w:eastAsia="zh-CN" w:bidi="ar"/>
              </w:rPr>
              <w:t>/</w:t>
            </w:r>
            <w:r>
              <w:rPr>
                <w:rStyle w:val="10"/>
                <w:rFonts w:hAnsi="宋体"/>
                <w:lang w:val="en-US" w:eastAsia="zh-CN" w:bidi="ar"/>
              </w:rPr>
              <w:t>颜色</w:t>
            </w:r>
            <w:r>
              <w:rPr>
                <w:rFonts w:hint="default" w:ascii="Times New Roman" w:hAnsi="Times New Roman" w:eastAsia="仿宋_GB2312" w:cs="Times New Roman"/>
                <w:i w:val="0"/>
                <w:iCs w:val="0"/>
                <w:color w:val="000000"/>
                <w:kern w:val="0"/>
                <w:sz w:val="21"/>
                <w:szCs w:val="21"/>
                <w:u w:val="none"/>
                <w:lang w:val="en-US" w:eastAsia="zh-CN" w:bidi="ar"/>
              </w:rPr>
              <w:t>/</w:t>
            </w:r>
            <w:r>
              <w:rPr>
                <w:rStyle w:val="10"/>
                <w:rFonts w:hAnsi="宋体"/>
                <w:lang w:val="en-US" w:eastAsia="zh-CN" w:bidi="ar"/>
              </w:rPr>
              <w:t>规格型号</w:t>
            </w:r>
          </w:p>
        </w:tc>
        <w:tc>
          <w:tcPr>
            <w:tcW w:w="10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7DA7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w:t>
            </w: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3082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税率</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F2D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含税单价（元）</w:t>
            </w: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D8F3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含税总价</w:t>
            </w:r>
          </w:p>
          <w:p w14:paraId="7BF060D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（元）</w:t>
            </w:r>
          </w:p>
        </w:tc>
        <w:tc>
          <w:tcPr>
            <w:tcW w:w="5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3428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14:paraId="0728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4B6D1A6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369CC1E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成品岗亭</w:t>
            </w:r>
          </w:p>
        </w:tc>
        <w:tc>
          <w:tcPr>
            <w:tcW w:w="3108" w:type="dxa"/>
            <w:tcBorders>
              <w:top w:val="nil"/>
              <w:left w:val="single" w:color="000000" w:sz="8" w:space="0"/>
              <w:bottom w:val="single" w:color="000000" w:sz="8" w:space="0"/>
              <w:right w:val="single" w:color="000000" w:sz="8" w:space="0"/>
            </w:tcBorders>
            <w:shd w:val="clear" w:color="auto" w:fill="auto"/>
            <w:vAlign w:val="top"/>
          </w:tcPr>
          <w:p w14:paraId="495220D2">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镀锌钢板包集成墙板，镀锌钢表面刷真石漆、单层钢化玻璃；</w:t>
            </w:r>
          </w:p>
          <w:p w14:paraId="7DEBA6BE">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2*2*2.8m</w:t>
            </w:r>
            <w:r>
              <w:rPr>
                <w:rStyle w:val="10"/>
                <w:rFonts w:hAnsi="Times New Roman"/>
                <w:lang w:val="en-US" w:eastAsia="zh-CN" w:bidi="ar"/>
              </w:rPr>
              <w:t>；</w:t>
            </w:r>
          </w:p>
          <w:p w14:paraId="33AB0880">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不含室内配套设施，不含玻璃防爆膜、防晒膜、室外灯具；</w:t>
            </w:r>
          </w:p>
        </w:tc>
        <w:tc>
          <w:tcPr>
            <w:tcW w:w="1090" w:type="dxa"/>
            <w:tcBorders>
              <w:top w:val="nil"/>
              <w:left w:val="single" w:color="000000" w:sz="8" w:space="0"/>
              <w:bottom w:val="single" w:color="000000" w:sz="8" w:space="0"/>
              <w:right w:val="single" w:color="000000" w:sz="8" w:space="0"/>
            </w:tcBorders>
            <w:shd w:val="clear" w:color="auto" w:fill="auto"/>
            <w:vAlign w:val="center"/>
          </w:tcPr>
          <w:p w14:paraId="564505B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0748AE4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1893D968">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1E8AC60D">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vAlign w:val="center"/>
          </w:tcPr>
          <w:p w14:paraId="36B2443A">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r>
      <w:tr w14:paraId="0A1B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4E86A51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51EECAA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成品组合花箱</w:t>
            </w:r>
          </w:p>
        </w:tc>
        <w:tc>
          <w:tcPr>
            <w:tcW w:w="3108" w:type="dxa"/>
            <w:tcBorders>
              <w:top w:val="nil"/>
              <w:left w:val="single" w:color="000000" w:sz="8" w:space="0"/>
              <w:bottom w:val="single" w:color="000000" w:sz="8" w:space="0"/>
              <w:right w:val="single" w:color="000000" w:sz="8" w:space="0"/>
            </w:tcBorders>
            <w:shd w:val="clear" w:color="auto" w:fill="auto"/>
            <w:vAlign w:val="top"/>
          </w:tcPr>
          <w:p w14:paraId="3F8F28E1">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不锈钢；</w:t>
            </w:r>
          </w:p>
          <w:p w14:paraId="1E6DC959">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每组</w:t>
            </w: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个</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长</w:t>
            </w:r>
            <w:r>
              <w:rPr>
                <w:rFonts w:hint="default" w:ascii="Times New Roman" w:hAnsi="Times New Roman" w:eastAsia="宋体" w:cs="Times New Roman"/>
                <w:i w:val="0"/>
                <w:iCs w:val="0"/>
                <w:color w:val="000000"/>
                <w:kern w:val="0"/>
                <w:sz w:val="21"/>
                <w:szCs w:val="21"/>
                <w:u w:val="none"/>
                <w:lang w:val="en-US" w:eastAsia="zh-CN" w:bidi="ar"/>
              </w:rPr>
              <w:t>1.14m</w:t>
            </w:r>
            <w:r>
              <w:rPr>
                <w:rStyle w:val="10"/>
                <w:rFonts w:hAnsi="Times New Roman"/>
                <w:lang w:val="en-US" w:eastAsia="zh-CN" w:bidi="ar"/>
              </w:rPr>
              <w:t>，宽</w:t>
            </w:r>
            <w:r>
              <w:rPr>
                <w:rFonts w:hint="default" w:ascii="Times New Roman" w:hAnsi="Times New Roman" w:eastAsia="宋体" w:cs="Times New Roman"/>
                <w:i w:val="0"/>
                <w:iCs w:val="0"/>
                <w:color w:val="000000"/>
                <w:kern w:val="0"/>
                <w:sz w:val="21"/>
                <w:szCs w:val="21"/>
                <w:u w:val="none"/>
                <w:lang w:val="en-US" w:eastAsia="zh-CN" w:bidi="ar"/>
              </w:rPr>
              <w:t>0.6m,</w:t>
            </w:r>
            <w:r>
              <w:rPr>
                <w:rStyle w:val="10"/>
                <w:rFonts w:hAnsi="Times New Roman"/>
                <w:lang w:val="en-US" w:eastAsia="zh-CN" w:bidi="ar"/>
              </w:rPr>
              <w:t xml:space="preserve">高 </w:t>
            </w:r>
            <w:r>
              <w:rPr>
                <w:rFonts w:hint="default" w:ascii="Times New Roman" w:hAnsi="Times New Roman" w:eastAsia="宋体" w:cs="Times New Roman"/>
                <w:i w:val="0"/>
                <w:iCs w:val="0"/>
                <w:color w:val="000000"/>
                <w:kern w:val="0"/>
                <w:sz w:val="21"/>
                <w:szCs w:val="21"/>
                <w:u w:val="none"/>
                <w:lang w:val="en-US" w:eastAsia="zh-CN" w:bidi="ar"/>
              </w:rPr>
              <w:t>0.9m</w:t>
            </w:r>
            <w:r>
              <w:rPr>
                <w:rStyle w:val="10"/>
                <w:rFonts w:hAnsi="Times New Roman"/>
                <w:lang w:val="en-US" w:eastAsia="zh-CN" w:bidi="ar"/>
              </w:rPr>
              <w:t>；</w:t>
            </w:r>
          </w:p>
          <w:p w14:paraId="4091EF9A">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颜色</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 xml:space="preserve">深咖色，种植深度 </w:t>
            </w:r>
            <w:r>
              <w:rPr>
                <w:rFonts w:hint="default" w:ascii="Times New Roman" w:hAnsi="Times New Roman" w:eastAsia="宋体" w:cs="Times New Roman"/>
                <w:i w:val="0"/>
                <w:iCs w:val="0"/>
                <w:color w:val="000000"/>
                <w:kern w:val="0"/>
                <w:sz w:val="21"/>
                <w:szCs w:val="21"/>
                <w:u w:val="none"/>
                <w:lang w:val="en-US" w:eastAsia="zh-CN" w:bidi="ar"/>
              </w:rPr>
              <w:t>25-30</w:t>
            </w:r>
            <w:r>
              <w:rPr>
                <w:rStyle w:val="10"/>
                <w:rFonts w:hAnsi="Times New Roman"/>
                <w:lang w:val="en-US" w:eastAsia="zh-CN" w:bidi="ar"/>
              </w:rPr>
              <w:t>厘米左右；</w:t>
            </w:r>
          </w:p>
        </w:tc>
        <w:tc>
          <w:tcPr>
            <w:tcW w:w="1090" w:type="dxa"/>
            <w:tcBorders>
              <w:top w:val="nil"/>
              <w:left w:val="single" w:color="000000" w:sz="8" w:space="0"/>
              <w:bottom w:val="single" w:color="000000" w:sz="8" w:space="0"/>
              <w:right w:val="single" w:color="000000" w:sz="8" w:space="0"/>
            </w:tcBorders>
            <w:shd w:val="clear" w:color="auto" w:fill="auto"/>
            <w:vAlign w:val="center"/>
          </w:tcPr>
          <w:p w14:paraId="190CEC6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6790C1F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480E2586">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7DEA525C">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vAlign w:val="center"/>
          </w:tcPr>
          <w:p w14:paraId="52736C01">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宋体" w:cs="Times New Roman"/>
                <w:i w:val="0"/>
                <w:iCs w:val="0"/>
                <w:color w:val="000000"/>
                <w:sz w:val="21"/>
                <w:szCs w:val="21"/>
                <w:u w:val="none"/>
              </w:rPr>
            </w:pPr>
          </w:p>
        </w:tc>
      </w:tr>
      <w:tr w14:paraId="0197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7668590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42DDEAC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成品室外太阳伞</w:t>
            </w:r>
          </w:p>
        </w:tc>
        <w:tc>
          <w:tcPr>
            <w:tcW w:w="3108" w:type="dxa"/>
            <w:tcBorders>
              <w:top w:val="nil"/>
              <w:left w:val="single" w:color="000000" w:sz="8" w:space="0"/>
              <w:bottom w:val="single" w:color="000000" w:sz="8" w:space="0"/>
              <w:right w:val="single" w:color="000000" w:sz="8" w:space="0"/>
            </w:tcBorders>
            <w:shd w:val="clear" w:color="auto" w:fill="auto"/>
            <w:vAlign w:val="top"/>
          </w:tcPr>
          <w:p w14:paraId="0781A4B2">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金属；</w:t>
            </w:r>
          </w:p>
          <w:p w14:paraId="505B18CA">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阳伞直径</w:t>
            </w:r>
            <w:r>
              <w:rPr>
                <w:rFonts w:hint="default" w:ascii="Times New Roman" w:hAnsi="Times New Roman" w:eastAsia="宋体" w:cs="Times New Roman"/>
                <w:i w:val="0"/>
                <w:iCs w:val="0"/>
                <w:color w:val="000000"/>
                <w:kern w:val="0"/>
                <w:sz w:val="21"/>
                <w:szCs w:val="21"/>
                <w:u w:val="none"/>
                <w:lang w:val="en-US" w:eastAsia="zh-CN" w:bidi="ar"/>
              </w:rPr>
              <w:t>3m</w:t>
            </w:r>
            <w:r>
              <w:rPr>
                <w:rStyle w:val="10"/>
                <w:rFonts w:hAnsi="Times New Roman"/>
                <w:lang w:val="en-US" w:eastAsia="zh-CN" w:bidi="ar"/>
              </w:rPr>
              <w:t>；</w:t>
            </w:r>
          </w:p>
          <w:p w14:paraId="22AE3A75">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配一桌四椅，椅子为铝合金网布椅子，长</w:t>
            </w:r>
            <w:r>
              <w:rPr>
                <w:rFonts w:hint="default" w:ascii="Times New Roman" w:hAnsi="Times New Roman" w:eastAsia="宋体" w:cs="Times New Roman"/>
                <w:i w:val="0"/>
                <w:iCs w:val="0"/>
                <w:color w:val="000000"/>
                <w:kern w:val="0"/>
                <w:sz w:val="21"/>
                <w:szCs w:val="21"/>
                <w:u w:val="none"/>
                <w:lang w:val="en-US" w:eastAsia="zh-CN" w:bidi="ar"/>
              </w:rPr>
              <w:t>0.525m</w:t>
            </w:r>
            <w:r>
              <w:rPr>
                <w:rStyle w:val="10"/>
                <w:rFonts w:hAnsi="Times New Roman"/>
                <w:lang w:val="en-US" w:eastAsia="zh-CN" w:bidi="ar"/>
              </w:rPr>
              <w:t>，宽</w:t>
            </w:r>
            <w:r>
              <w:rPr>
                <w:rFonts w:hint="default" w:ascii="Times New Roman" w:hAnsi="Times New Roman" w:eastAsia="宋体" w:cs="Times New Roman"/>
                <w:i w:val="0"/>
                <w:iCs w:val="0"/>
                <w:color w:val="000000"/>
                <w:kern w:val="0"/>
                <w:sz w:val="21"/>
                <w:szCs w:val="21"/>
                <w:u w:val="none"/>
                <w:lang w:val="en-US" w:eastAsia="zh-CN" w:bidi="ar"/>
              </w:rPr>
              <w:t>0.59m</w:t>
            </w:r>
            <w:r>
              <w:rPr>
                <w:rStyle w:val="10"/>
                <w:rFonts w:hAnsi="Times New Roman"/>
                <w:lang w:val="en-US" w:eastAsia="zh-CN" w:bidi="ar"/>
              </w:rPr>
              <w:t>，高</w:t>
            </w:r>
            <w:r>
              <w:rPr>
                <w:rFonts w:hint="default" w:ascii="Times New Roman" w:hAnsi="Times New Roman" w:eastAsia="宋体" w:cs="Times New Roman"/>
                <w:i w:val="0"/>
                <w:iCs w:val="0"/>
                <w:color w:val="000000"/>
                <w:kern w:val="0"/>
                <w:sz w:val="21"/>
                <w:szCs w:val="21"/>
                <w:u w:val="none"/>
                <w:lang w:val="en-US" w:eastAsia="zh-CN" w:bidi="ar"/>
              </w:rPr>
              <w:t>85cm</w:t>
            </w:r>
            <w:r>
              <w:rPr>
                <w:rStyle w:val="10"/>
                <w:rFonts w:hAnsi="Times New Roman"/>
                <w:lang w:val="en-US" w:eastAsia="zh-CN" w:bidi="ar"/>
              </w:rPr>
              <w:t>；桌子为铝合金长方桌，长度</w:t>
            </w:r>
            <w:r>
              <w:rPr>
                <w:rFonts w:hint="default" w:ascii="Times New Roman" w:hAnsi="Times New Roman" w:eastAsia="宋体" w:cs="Times New Roman"/>
                <w:i w:val="0"/>
                <w:iCs w:val="0"/>
                <w:color w:val="000000"/>
                <w:kern w:val="0"/>
                <w:sz w:val="21"/>
                <w:szCs w:val="21"/>
                <w:u w:val="none"/>
                <w:lang w:val="en-US" w:eastAsia="zh-CN" w:bidi="ar"/>
              </w:rPr>
              <w:t>160cm</w:t>
            </w:r>
            <w:r>
              <w:rPr>
                <w:rStyle w:val="10"/>
                <w:rFonts w:hAnsi="Times New Roman"/>
                <w:lang w:val="en-US" w:eastAsia="zh-CN" w:bidi="ar"/>
              </w:rPr>
              <w:t>，宽度</w:t>
            </w:r>
            <w:r>
              <w:rPr>
                <w:rFonts w:hint="default" w:ascii="Times New Roman" w:hAnsi="Times New Roman" w:eastAsia="宋体" w:cs="Times New Roman"/>
                <w:i w:val="0"/>
                <w:iCs w:val="0"/>
                <w:color w:val="000000"/>
                <w:kern w:val="0"/>
                <w:sz w:val="21"/>
                <w:szCs w:val="21"/>
                <w:u w:val="none"/>
                <w:lang w:val="en-US" w:eastAsia="zh-CN" w:bidi="ar"/>
              </w:rPr>
              <w:t>90cm</w:t>
            </w:r>
            <w:r>
              <w:rPr>
                <w:rStyle w:val="10"/>
                <w:rFonts w:hAnsi="Times New Roman"/>
                <w:lang w:val="en-US" w:eastAsia="zh-CN" w:bidi="ar"/>
              </w:rPr>
              <w:t>；</w:t>
            </w:r>
          </w:p>
        </w:tc>
        <w:tc>
          <w:tcPr>
            <w:tcW w:w="1090" w:type="dxa"/>
            <w:tcBorders>
              <w:top w:val="nil"/>
              <w:left w:val="single" w:color="000000" w:sz="8" w:space="0"/>
              <w:bottom w:val="single" w:color="000000" w:sz="8" w:space="0"/>
              <w:right w:val="single" w:color="000000" w:sz="8" w:space="0"/>
            </w:tcBorders>
            <w:shd w:val="clear" w:color="auto" w:fill="auto"/>
            <w:vAlign w:val="center"/>
          </w:tcPr>
          <w:p w14:paraId="55FB228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437CD96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7405CA72">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65E70D65">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vAlign w:val="center"/>
          </w:tcPr>
          <w:p w14:paraId="15E38BAC">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宋体" w:cs="Times New Roman"/>
                <w:i w:val="0"/>
                <w:iCs w:val="0"/>
                <w:color w:val="000000"/>
                <w:sz w:val="21"/>
                <w:szCs w:val="21"/>
                <w:u w:val="none"/>
              </w:rPr>
            </w:pPr>
          </w:p>
        </w:tc>
      </w:tr>
      <w:tr w14:paraId="567F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877" w:type="dxa"/>
            <w:gridSpan w:val="6"/>
            <w:tcBorders>
              <w:top w:val="nil"/>
              <w:left w:val="single" w:color="000000" w:sz="8" w:space="0"/>
              <w:bottom w:val="single" w:color="000000" w:sz="8" w:space="0"/>
              <w:right w:val="single" w:color="000000" w:sz="8" w:space="0"/>
            </w:tcBorders>
            <w:shd w:val="clear" w:color="auto" w:fill="auto"/>
            <w:vAlign w:val="center"/>
          </w:tcPr>
          <w:p w14:paraId="22F7DA3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合计：（元）</w:t>
            </w: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663078ED">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noWrap/>
            <w:vAlign w:val="center"/>
          </w:tcPr>
          <w:p w14:paraId="58BFA04F">
            <w:pPr>
              <w:keepNext w:val="0"/>
              <w:keepLines w:val="0"/>
              <w:pageBreakBefore w:val="0"/>
              <w:widowControl/>
              <w:kinsoku/>
              <w:wordWrap/>
              <w:overflowPunct/>
              <w:topLinePunct w:val="0"/>
              <w:autoSpaceDE/>
              <w:autoSpaceDN/>
              <w:bidi w:val="0"/>
              <w:adjustRightInd/>
              <w:snapToGrid/>
              <w:ind w:firstLineChars="0"/>
              <w:rPr>
                <w:rFonts w:hint="eastAsia" w:ascii="宋体" w:hAnsi="宋体" w:eastAsia="宋体" w:cs="宋体"/>
                <w:i w:val="0"/>
                <w:iCs w:val="0"/>
                <w:color w:val="000000"/>
                <w:sz w:val="22"/>
                <w:szCs w:val="22"/>
                <w:u w:val="none"/>
              </w:rPr>
            </w:pPr>
          </w:p>
        </w:tc>
      </w:tr>
    </w:tbl>
    <w:p w14:paraId="32688320">
      <w:pPr>
        <w:spacing w:line="240" w:lineRule="auto"/>
        <w:ind w:left="1260" w:hanging="1260" w:hangingChars="600"/>
        <w:jc w:val="left"/>
        <w:rPr>
          <w:rFonts w:hint="eastAsia" w:ascii="仿宋" w:hAnsi="仿宋" w:eastAsia="仿宋" w:cs="仿宋"/>
          <w:bCs/>
          <w:color w:val="000000"/>
          <w:sz w:val="21"/>
          <w:szCs w:val="24"/>
          <w:highlight w:val="none"/>
          <w:lang w:val="en-US" w:eastAsia="zh-CN"/>
        </w:rPr>
      </w:pPr>
      <w:r>
        <w:rPr>
          <w:rFonts w:hint="eastAsia" w:ascii="仿宋" w:hAnsi="仿宋" w:eastAsia="仿宋" w:cs="仿宋"/>
          <w:b w:val="0"/>
          <w:bCs/>
          <w:color w:val="000000"/>
          <w:highlight w:val="none"/>
        </w:rPr>
        <w:t>备注：</w:t>
      </w:r>
      <w:r>
        <w:rPr>
          <w:rFonts w:hint="eastAsia" w:ascii="仿宋" w:hAnsi="仿宋" w:eastAsia="仿宋" w:cs="仿宋"/>
          <w:bCs/>
          <w:color w:val="000000"/>
          <w:sz w:val="21"/>
          <w:szCs w:val="24"/>
          <w:highlight w:val="none"/>
          <w:lang w:val="en-US" w:eastAsia="zh-CN"/>
        </w:rPr>
        <w:t>（1）所有报价均用人民币表示，该单价为固定综合单价，包括但不限于运输费、上下车费、安装费、管理费、利润、税金等为完成本项目材料供应的所有费用。</w:t>
      </w:r>
    </w:p>
    <w:p w14:paraId="4D56A424">
      <w:pPr>
        <w:spacing w:beforeLines="-2147483648" w:line="240" w:lineRule="auto"/>
        <w:ind w:firstLine="630" w:firstLineChars="300"/>
        <w:jc w:val="left"/>
        <w:rPr>
          <w:rFonts w:hint="eastAsia" w:ascii="仿宋" w:hAnsi="仿宋" w:eastAsia="仿宋" w:cs="仿宋"/>
          <w:bCs/>
          <w:color w:val="000000"/>
          <w:highlight w:val="none"/>
          <w:lang w:val="en-US" w:eastAsia="zh-CN"/>
        </w:rPr>
      </w:pPr>
      <w:r>
        <w:rPr>
          <w:rFonts w:hint="eastAsia" w:ascii="仿宋" w:hAnsi="仿宋" w:eastAsia="仿宋" w:cs="仿宋"/>
          <w:bCs/>
          <w:color w:val="000000"/>
          <w:highlight w:val="none"/>
          <w:lang w:val="en-US" w:eastAsia="zh-CN"/>
        </w:rPr>
        <w:t>（2）</w:t>
      </w:r>
      <w:r>
        <w:rPr>
          <w:rFonts w:hint="eastAsia" w:ascii="仿宋" w:hAnsi="仿宋" w:eastAsia="仿宋" w:cs="仿宋"/>
          <w:bCs/>
          <w:color w:val="000000"/>
          <w:spacing w:val="0"/>
          <w:kern w:val="2"/>
          <w:sz w:val="21"/>
          <w:szCs w:val="24"/>
          <w:highlight w:val="none"/>
          <w:lang w:val="en-US" w:eastAsia="zh-CN" w:bidi="ar-SA"/>
        </w:rPr>
        <w:t>超过最高限价的报价无效</w:t>
      </w:r>
      <w:r>
        <w:rPr>
          <w:rFonts w:hint="eastAsia" w:ascii="仿宋" w:hAnsi="仿宋" w:eastAsia="仿宋" w:cs="仿宋"/>
          <w:bCs/>
          <w:color w:val="000000"/>
          <w:highlight w:val="none"/>
          <w:lang w:val="en-US" w:eastAsia="zh-CN"/>
        </w:rPr>
        <w:t>。</w:t>
      </w:r>
    </w:p>
    <w:p w14:paraId="0854EC2E">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合同</w:t>
      </w:r>
      <w:r>
        <w:rPr>
          <w:rFonts w:hint="eastAsia" w:ascii="仿宋" w:hAnsi="仿宋" w:eastAsia="仿宋" w:cs="仿宋"/>
          <w:bCs/>
          <w:color w:val="000000"/>
          <w:sz w:val="24"/>
          <w:highlight w:val="none"/>
          <w:lang w:val="en-US" w:eastAsia="zh-CN"/>
        </w:rPr>
        <w:t>暂定</w:t>
      </w:r>
      <w:r>
        <w:rPr>
          <w:rFonts w:hint="eastAsia" w:ascii="仿宋" w:hAnsi="仿宋" w:eastAsia="仿宋" w:cs="仿宋"/>
          <w:bCs/>
          <w:color w:val="000000"/>
          <w:sz w:val="24"/>
          <w:highlight w:val="none"/>
        </w:rPr>
        <w:t xml:space="preserve">总金额（含增值税）为：￥：         </w:t>
      </w:r>
      <w:r>
        <w:rPr>
          <w:rFonts w:hint="eastAsia"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rPr>
        <w:t>大写：         整</w:t>
      </w:r>
      <w:r>
        <w:rPr>
          <w:rFonts w:hint="eastAsia"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rPr>
        <w:t>其中，不含税</w:t>
      </w:r>
      <w:r>
        <w:rPr>
          <w:rFonts w:hint="eastAsia" w:ascii="仿宋" w:hAnsi="仿宋" w:eastAsia="仿宋" w:cs="仿宋"/>
          <w:bCs/>
          <w:color w:val="000000"/>
          <w:sz w:val="24"/>
          <w:highlight w:val="none"/>
          <w:lang w:val="en-US" w:eastAsia="zh-CN"/>
        </w:rPr>
        <w:t>金额</w:t>
      </w:r>
      <w:r>
        <w:rPr>
          <w:rFonts w:hint="eastAsia" w:ascii="仿宋" w:hAnsi="仿宋" w:eastAsia="仿宋" w:cs="仿宋"/>
          <w:bCs/>
          <w:color w:val="000000"/>
          <w:sz w:val="24"/>
          <w:highlight w:val="none"/>
        </w:rPr>
        <w:t>为：￥：        ，税</w:t>
      </w:r>
      <w:r>
        <w:rPr>
          <w:rFonts w:hint="eastAsia" w:ascii="仿宋" w:hAnsi="仿宋" w:eastAsia="仿宋" w:cs="仿宋"/>
          <w:bCs/>
          <w:color w:val="000000"/>
          <w:sz w:val="24"/>
          <w:highlight w:val="none"/>
          <w:lang w:val="en-US" w:eastAsia="zh-CN"/>
        </w:rPr>
        <w:t>费</w:t>
      </w:r>
      <w:r>
        <w:rPr>
          <w:rFonts w:hint="eastAsia" w:ascii="仿宋" w:hAnsi="仿宋" w:eastAsia="仿宋" w:cs="仿宋"/>
          <w:bCs/>
          <w:color w:val="000000"/>
          <w:sz w:val="24"/>
          <w:highlight w:val="none"/>
        </w:rPr>
        <w:t>为：￥：         。供货数量、时间和地点以甲方需求计划为准，以上数量为暂估量，结算数量为甲方实收合格数量，甲方有权对合同中的数量和交货时间做调整，乙方不得有异议，最终供货数量未达到暂估数量时，乙方不得以供货数量不足向甲方主张任何权利。</w:t>
      </w:r>
    </w:p>
    <w:p w14:paraId="79EE418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3、乙方负责运输（并卸货）至甲方指定地点，材料价格</w:t>
      </w:r>
      <w:r>
        <w:rPr>
          <w:rFonts w:hint="eastAsia" w:ascii="仿宋" w:hAnsi="仿宋" w:eastAsia="仿宋" w:cs="仿宋"/>
          <w:bCs/>
          <w:color w:val="000000"/>
          <w:sz w:val="24"/>
          <w:highlight w:val="none"/>
          <w:lang w:val="en-US" w:eastAsia="zh-CN"/>
        </w:rPr>
        <w:t>包括但不限于运输费、上下车费、安装费、管理费、利润、税金等为完成本项目材料供应的所有费用</w:t>
      </w:r>
      <w:r>
        <w:rPr>
          <w:rFonts w:hint="eastAsia" w:ascii="仿宋" w:hAnsi="仿宋" w:eastAsia="仿宋" w:cs="仿宋"/>
          <w:bCs/>
          <w:color w:val="000000"/>
          <w:sz w:val="24"/>
          <w:highlight w:val="none"/>
        </w:rPr>
        <w:t>。本合同为</w:t>
      </w:r>
      <w:r>
        <w:rPr>
          <w:rFonts w:hint="eastAsia" w:ascii="仿宋" w:hAnsi="仿宋" w:eastAsia="仿宋" w:cs="仿宋"/>
          <w:bCs/>
          <w:color w:val="000000"/>
          <w:sz w:val="24"/>
          <w:highlight w:val="none"/>
          <w:lang w:val="en-US" w:eastAsia="zh-CN"/>
        </w:rPr>
        <w:t>固定单</w:t>
      </w:r>
      <w:r>
        <w:rPr>
          <w:rFonts w:hint="eastAsia" w:ascii="仿宋" w:hAnsi="仿宋" w:eastAsia="仿宋" w:cs="仿宋"/>
          <w:bCs/>
          <w:color w:val="000000"/>
          <w:sz w:val="24"/>
          <w:highlight w:val="none"/>
        </w:rPr>
        <w:t>价，甲方有权调整合同中材料计划或材料数量，材料数量和规格的调整，不影响本合同单价及其他条款的执行。</w:t>
      </w:r>
    </w:p>
    <w:p w14:paraId="6CA5EB6A">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二、技术标准（包括质量要求） </w:t>
      </w:r>
    </w:p>
    <w:p w14:paraId="5B81E814">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（1）技术要求：供应商的产品须同时满足国家标准、行业标准及采购人技术要求；</w:t>
      </w:r>
    </w:p>
    <w:p w14:paraId="6D3F5504">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（2）材料的试验项目、试验方法按照国家、行业和地方的现行规定执行。 </w:t>
      </w:r>
    </w:p>
    <w:p w14:paraId="71C3C481">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（3）供应要求： </w:t>
      </w:r>
    </w:p>
    <w:p w14:paraId="3599CBB8">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①成交人每次供货都应随车提交该批次产品的名称、规格型号、数量、检测报告或产品合格证； </w:t>
      </w:r>
    </w:p>
    <w:p w14:paraId="7D7789D9">
      <w:pPr>
        <w:tabs>
          <w:tab w:val="left" w:pos="567"/>
        </w:tabs>
        <w:adjustRightInd w:val="0"/>
        <w:snapToGrid w:val="0"/>
        <w:spacing w:line="560" w:lineRule="exact"/>
        <w:ind w:firstLine="470" w:firstLineChars="196"/>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②现场清点和验收：成交人每次到场的货物，采购人只确认外观、数量、所提供的资料是否齐全；具体的各项技术指标按照双方签订的合同及技术标准(技术要求)执行。</w:t>
      </w:r>
    </w:p>
    <w:p w14:paraId="05FBB3AA">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三、质量保证期</w:t>
      </w:r>
    </w:p>
    <w:p w14:paraId="2BA626E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甲方应支付给乙方的合同款项中扣除得到补偿。甲方根据合同规定对乙方行使的其他权利不受影响，并保留进一步索赔的权利。维修或更换后的货物的质量保证期相应延长。</w:t>
      </w:r>
    </w:p>
    <w:p w14:paraId="0B6DCFF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、质量保证期后乙方仍应承担售后服务。乙方必须在接到甲方或工程业主提出书面要求后2日内给予书面答复，并提供相应服务，以达到本工程项目业主满意。</w:t>
      </w:r>
    </w:p>
    <w:p w14:paraId="07825CF5">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四、交货方法、交货地点、交货期限</w:t>
      </w:r>
    </w:p>
    <w:p w14:paraId="50471191">
      <w:pPr>
        <w:tabs>
          <w:tab w:val="left" w:pos="567"/>
        </w:tabs>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1、交货地点: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项目所在地</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14:paraId="712BD96B">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应随同每批物资发运附一份发货物资清单、出厂质量检验合格证书等必要文件。</w:t>
      </w:r>
    </w:p>
    <w:p w14:paraId="686E07AB">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3、物资运抵交货地点后，买卖双方及施工、监理单位应按</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提供的发货物资清单对到货数量、外观、规格型号、合格证等进行核对。如发现包装破损，应作出记录并立即检查，确认是否对物资本身造成损伤。如确认对物资本身造成了损伤，</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应及时更换被损伤的物资，或者免费进行必要的补救以达到物资出厂的标准。</w:t>
      </w:r>
    </w:p>
    <w:p w14:paraId="7E82AEFF">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4、物资经验收合格后，</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向</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出具验收单据。此验收合格的单据不作为判定物资质量的依据。</w:t>
      </w:r>
    </w:p>
    <w:p w14:paraId="4E60B77D">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出具验收单据后，物资所有权转移给</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，但并不解除</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对其物资应负的质量责任。</w:t>
      </w:r>
    </w:p>
    <w:p w14:paraId="1423D255">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有权对验收合格后的物资交有资质的检验部门</w:t>
      </w:r>
      <w:r>
        <w:rPr>
          <w:rFonts w:hint="eastAsia" w:ascii="仿宋" w:hAnsi="仿宋" w:eastAsia="仿宋" w:cs="仿宋"/>
          <w:color w:val="000000"/>
          <w:sz w:val="24"/>
          <w:highlight w:val="none"/>
          <w:lang w:val="en-US" w:eastAsia="zh-Hans"/>
        </w:rPr>
        <w:t>随机抽样</w:t>
      </w:r>
      <w:r>
        <w:rPr>
          <w:rFonts w:hint="eastAsia" w:ascii="仿宋" w:hAnsi="仿宋" w:eastAsia="仿宋" w:cs="仿宋"/>
          <w:color w:val="000000"/>
          <w:sz w:val="24"/>
          <w:highlight w:val="none"/>
        </w:rPr>
        <w:t>检验，</w:t>
      </w:r>
      <w:r>
        <w:rPr>
          <w:rFonts w:hint="eastAsia" w:ascii="仿宋" w:hAnsi="仿宋" w:eastAsia="仿宋" w:cs="仿宋"/>
          <w:color w:val="000000"/>
          <w:sz w:val="24"/>
          <w:highlight w:val="none"/>
          <w:lang w:val="en-US" w:eastAsia="zh-Hans"/>
        </w:rPr>
        <w:t>检验结果直接作为判定</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lang w:val="en-US" w:eastAsia="zh-Hans"/>
        </w:rPr>
        <w:t>交付货物质量是否符合约定即法律规定的依据</w:t>
      </w:r>
      <w:r>
        <w:rPr>
          <w:rFonts w:hint="default" w:ascii="仿宋" w:hAnsi="仿宋" w:eastAsia="仿宋" w:cs="仿宋"/>
          <w:color w:val="000000"/>
          <w:sz w:val="24"/>
          <w:highlight w:val="none"/>
          <w:lang w:eastAsia="zh-Hans"/>
        </w:rPr>
        <w:t>；</w:t>
      </w:r>
      <w:r>
        <w:rPr>
          <w:rFonts w:hint="eastAsia" w:ascii="仿宋" w:hAnsi="仿宋" w:eastAsia="仿宋" w:cs="仿宋"/>
          <w:color w:val="000000"/>
          <w:sz w:val="24"/>
          <w:highlight w:val="none"/>
        </w:rPr>
        <w:t>如果任何被检测或测试的物资不能满足技术规格的要求，</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应及时更换，或者根据</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要求对缺陷免费进行修复以满足技术规格的要求，并承担该部分检验费用。</w:t>
      </w:r>
    </w:p>
    <w:p w14:paraId="53DCD852">
      <w:pPr>
        <w:adjustRightInd w:val="0"/>
        <w:snapToGrid w:val="0"/>
        <w:spacing w:line="560" w:lineRule="exact"/>
        <w:ind w:firstLine="484" w:firstLineChars="202"/>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7、</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在物资到达最终目的地后对物资进行检验、测试及必要时拒绝接受物资的权利应不会因为物资在从</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制造厂启运前通过了</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或其代表的检验、测试和认可而受到限制或放弃。</w:t>
      </w:r>
    </w:p>
    <w:p w14:paraId="134FDE20">
      <w:pPr>
        <w:adjustRightInd w:val="0"/>
        <w:snapToGrid w:val="0"/>
        <w:spacing w:line="560" w:lineRule="exact"/>
        <w:ind w:firstLine="484" w:firstLineChars="202"/>
        <w:jc w:val="left"/>
        <w:rPr>
          <w:rFonts w:ascii="仿宋" w:hAnsi="仿宋" w:eastAsia="仿宋" w:cs="仿宋"/>
          <w:bCs/>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bCs/>
          <w:color w:val="000000"/>
          <w:sz w:val="24"/>
          <w:highlight w:val="none"/>
        </w:rPr>
        <w:t>8、交货日期: 以甲方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电话</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（电话/传真/书面）通知为准，以物资实际运送到合同指定地点并</w:t>
      </w:r>
      <w:r>
        <w:rPr>
          <w:rFonts w:hint="eastAsia" w:ascii="仿宋" w:hAnsi="仿宋" w:eastAsia="仿宋" w:cs="仿宋"/>
          <w:color w:val="000000"/>
          <w:sz w:val="24"/>
          <w:szCs w:val="28"/>
          <w:highlight w:val="none"/>
        </w:rPr>
        <w:t>由甲方指定人员签收</w:t>
      </w:r>
      <w:r>
        <w:rPr>
          <w:rFonts w:hint="eastAsia" w:ascii="仿宋" w:hAnsi="仿宋" w:eastAsia="仿宋" w:cs="仿宋"/>
          <w:bCs/>
          <w:color w:val="000000"/>
          <w:sz w:val="24"/>
          <w:highlight w:val="none"/>
        </w:rPr>
        <w:t>的日期为乙方的实际交货日期，并以此来确定是否构成逾期交货。</w:t>
      </w:r>
    </w:p>
    <w:p w14:paraId="14EFC6BA">
      <w:pPr>
        <w:tabs>
          <w:tab w:val="left" w:pos="567"/>
        </w:tabs>
        <w:adjustRightInd w:val="0"/>
        <w:snapToGrid w:val="0"/>
        <w:spacing w:line="5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9、按甲方需用计划的要求，将本合同约定的材料保质、保量（乙方应具有应对施工高峰期和汛期的应急措施）、及时、齐备配套地供应到甲方指定地点。</w:t>
      </w:r>
    </w:p>
    <w:p w14:paraId="5AE15626">
      <w:pPr>
        <w:tabs>
          <w:tab w:val="left" w:pos="567"/>
        </w:tabs>
        <w:adjustRightInd w:val="0"/>
        <w:snapToGrid w:val="0"/>
        <w:spacing w:line="5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10、乙方应全方位保证并满足甲方的材料需要，合同执行过程中乙方不得停止供货并将产品出售给其他购货单位。</w:t>
      </w:r>
    </w:p>
    <w:p w14:paraId="0B111257">
      <w:pPr>
        <w:tabs>
          <w:tab w:val="left" w:pos="567"/>
        </w:tabs>
        <w:adjustRightInd w:val="0"/>
        <w:snapToGrid w:val="0"/>
        <w:spacing w:line="5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11、</w:t>
      </w:r>
      <w:r>
        <w:rPr>
          <w:rFonts w:hint="eastAsia" w:ascii="仿宋" w:hAnsi="仿宋" w:eastAsia="仿宋" w:cs="仿宋"/>
          <w:bCs/>
          <w:color w:val="000000"/>
          <w:sz w:val="24"/>
          <w:highlight w:val="none"/>
        </w:rPr>
        <w:t>乙方应以最适宜保护物资性能、质量的运输方式运送。对于物资运送到指定地点并经验收合格之前发生的一切损坏（包括外观、性能等方面）、数量损失等均由乙方自行承担。</w:t>
      </w:r>
    </w:p>
    <w:p w14:paraId="22638081">
      <w:pPr>
        <w:tabs>
          <w:tab w:val="left" w:pos="567"/>
          <w:tab w:val="left" w:pos="720"/>
          <w:tab w:val="left" w:pos="900"/>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Cs/>
          <w:color w:val="000000"/>
          <w:sz w:val="24"/>
          <w:highlight w:val="none"/>
        </w:rPr>
        <w:t>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14:paraId="7A496034">
      <w:pPr>
        <w:tabs>
          <w:tab w:val="left" w:pos="567"/>
        </w:tabs>
        <w:adjustRightInd w:val="0"/>
        <w:snapToGrid w:val="0"/>
        <w:spacing w:line="5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13、</w:t>
      </w:r>
      <w:r>
        <w:rPr>
          <w:rFonts w:hint="eastAsia" w:ascii="仿宋" w:hAnsi="仿宋" w:eastAsia="仿宋" w:cs="仿宋"/>
          <w:bCs/>
          <w:color w:val="000000"/>
          <w:sz w:val="24"/>
          <w:highlight w:val="none"/>
        </w:rPr>
        <w:t>乙方供应物资应根据工程进展情况需要使用前预计足够时间（必须符合甲方的要求）运抵现场，以确保甲方负责施工的工程竣工工期不会出现任何延误。</w:t>
      </w:r>
    </w:p>
    <w:p w14:paraId="4A1E539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14、乙方必须配合工程需用物资计划，物资计划会在工程进行中不断修订，乙方仍须在修订后的计划时间内，及时供应符合合同质量要求的物资。</w:t>
      </w:r>
    </w:p>
    <w:p w14:paraId="545B051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15、乙方不得将甲方所制定的物资需用计划的更改作为要求索赔的理由。</w:t>
      </w:r>
    </w:p>
    <w:p w14:paraId="219B4D5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16、乙方必须按甲方随时发出的通知要求的日期进行交货，若未按甲方规定时间交货，乙方将负责因此造成的损失,且甲方有权核减乙方供应量直至终止与乙方的合同。</w:t>
      </w:r>
    </w:p>
    <w:p w14:paraId="4ADF63D8">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17、乙方必须对自身出入甲方现场的人员进行安全交底，对因非甲方造成的安全事故承担全部责任。</w:t>
      </w:r>
    </w:p>
    <w:p w14:paraId="74FE15C4">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18、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14:paraId="2B371757">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五、货款的支付方式：</w:t>
      </w:r>
    </w:p>
    <w:p w14:paraId="1B5C4310">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（1）项目竣工验收合格后支付至双方结算金额的100%，同时扣除应扣款项；</w:t>
      </w:r>
    </w:p>
    <w:p w14:paraId="4702B593">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（2）甲方可采取银行转账、银承、保理、商票、应收账款电子凭证等方式向乙方支付工程款，且甲方不承担承兑汇票的贴现费用，由乙方自理；</w:t>
      </w:r>
    </w:p>
    <w:p w14:paraId="2F663BF9">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（3）甲方支付款项前，乙方须先行向甲方提供等额、合法且有效的增值税专用发票及请款申请，否则，甲方有权拒绝付款且不承担延迟履行的法律责任。</w:t>
      </w:r>
    </w:p>
    <w:p w14:paraId="24101B2F">
      <w:pPr>
        <w:tabs>
          <w:tab w:val="left" w:pos="567"/>
        </w:tabs>
        <w:adjustRightInd w:val="0"/>
        <w:snapToGrid w:val="0"/>
        <w:spacing w:line="560" w:lineRule="exact"/>
        <w:ind w:firstLine="540" w:firstLineChars="225"/>
        <w:rPr>
          <w:rFonts w:hint="default" w:ascii="仿宋" w:hAnsi="仿宋" w:eastAsia="仿宋" w:cs="仿宋"/>
          <w:bCs/>
          <w:color w:val="000000"/>
          <w:sz w:val="24"/>
          <w:highlight w:val="none"/>
        </w:rPr>
      </w:pPr>
      <w:r>
        <w:rPr>
          <w:rFonts w:hint="eastAsia" w:ascii="仿宋" w:hAnsi="仿宋" w:eastAsia="仿宋" w:cs="仿宋"/>
          <w:bCs/>
          <w:color w:val="000000"/>
          <w:sz w:val="24"/>
          <w:highlight w:val="none"/>
        </w:rPr>
        <w:t>2、价格调整的约定：</w:t>
      </w:r>
      <w:r>
        <w:rPr>
          <w:rFonts w:hint="eastAsia" w:ascii="仿宋" w:hAnsi="仿宋" w:eastAsia="仿宋" w:cs="仿宋"/>
          <w:bCs/>
          <w:color w:val="000000"/>
          <w:sz w:val="24"/>
          <w:highlight w:val="none"/>
          <w:lang w:val="en-US" w:eastAsia="zh-CN"/>
        </w:rPr>
        <w:t>不可调整</w:t>
      </w:r>
      <w:r>
        <w:rPr>
          <w:rFonts w:hint="eastAsia" w:ascii="仿宋" w:hAnsi="仿宋" w:eastAsia="仿宋" w:cs="仿宋"/>
          <w:bCs/>
          <w:color w:val="000000"/>
          <w:sz w:val="24"/>
          <w:szCs w:val="24"/>
          <w:highlight w:val="none"/>
          <w:u w:val="none"/>
          <w:lang w:val="en-US" w:eastAsia="zh-CN"/>
        </w:rPr>
        <w:t>；</w:t>
      </w:r>
    </w:p>
    <w:p w14:paraId="4B9262DF">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ascii="仿宋" w:hAnsi="仿宋" w:eastAsia="仿宋" w:cs="仿宋"/>
          <w:bCs/>
          <w:color w:val="000000"/>
          <w:sz w:val="24"/>
          <w:highlight w:val="none"/>
        </w:rPr>
        <w:t>3、发票</w:t>
      </w:r>
    </w:p>
    <w:p w14:paraId="69AE550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3.1乙方属于以下第</w:t>
      </w:r>
      <w:r>
        <w:rPr>
          <w:rFonts w:hint="eastAsia" w:ascii="仿宋" w:hAnsi="仿宋" w:eastAsia="仿宋" w:cs="仿宋"/>
          <w:bCs/>
          <w:color w:val="000000"/>
          <w:sz w:val="24"/>
          <w:highlight w:val="none"/>
          <w:u w:val="single"/>
        </w:rPr>
        <w:t xml:space="preserve">  </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种纳税人：</w:t>
      </w:r>
    </w:p>
    <w:p w14:paraId="172D8DBB">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（1）一般纳税人    （2）小规模纳税人   </w:t>
      </w:r>
    </w:p>
    <w:p w14:paraId="611FAC3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3.2乙方提供以下第</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eastAsia="zh-CN"/>
        </w:rPr>
        <w:t>（</w:t>
      </w:r>
      <w:r>
        <w:rPr>
          <w:rFonts w:hint="eastAsia" w:ascii="仿宋" w:hAnsi="仿宋" w:eastAsia="仿宋" w:cs="仿宋"/>
          <w:bCs/>
          <w:color w:val="000000"/>
          <w:sz w:val="24"/>
          <w:highlight w:val="none"/>
          <w:u w:val="single"/>
          <w:lang w:val="en-US" w:eastAsia="zh-CN"/>
        </w:rPr>
        <w:t>1</w:t>
      </w:r>
      <w:r>
        <w:rPr>
          <w:rFonts w:hint="eastAsia" w:ascii="仿宋" w:hAnsi="仿宋" w:eastAsia="仿宋" w:cs="仿宋"/>
          <w:bCs/>
          <w:color w:val="000000"/>
          <w:sz w:val="24"/>
          <w:highlight w:val="none"/>
          <w:u w:val="single"/>
          <w:lang w:eastAsia="zh-CN"/>
        </w:rPr>
        <w:t>）</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种发票。</w:t>
      </w:r>
    </w:p>
    <w:p w14:paraId="7FDE744E">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（1）提供税率为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13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%的增值税专用发票；</w:t>
      </w:r>
    </w:p>
    <w:p w14:paraId="4ED8383C">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（2）提供税率为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%的增值税普通发票。</w:t>
      </w:r>
    </w:p>
    <w:p w14:paraId="0C4851CD">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3.3乙方在向甲方申请付款前，应提供与甲方确认付款金额等额的合法、有效、完整、准确的增值税发票。若乙方提供的发票不符合要求的，甲方有权拒收增值税发票，并有权暂停支付相应款项，乙方不得以此为由中止履行合同的义务。如因乙方不能按期提供发票或提供的发票不符合要求而导致付款延期的，由其自行承担后果，甲方不承担任何责任。</w:t>
      </w:r>
    </w:p>
    <w:p w14:paraId="22B51774">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3.4 若乙方未按上述约定向甲方开具足额增值税发票或因乙方原因导致提供的增值税发票甲方不能认证、抵扣的，乙方应按甲方要求采取补救措施，同时，甲方有权要求乙方支付本合同暂定总价的0.5%的违约金并承担甲方未能抵扣而产生的全部税费。</w:t>
      </w:r>
    </w:p>
    <w:p w14:paraId="4B9A3381">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3.5如果甲方丢失增值税专用发票发票联和抵扣联，则乙方必须向甲方提供专用发票记账联复印件和乙方主管税务机关出具的《丢失增值税专用发票已报税证明单》。</w:t>
      </w:r>
    </w:p>
    <w:p w14:paraId="590211BC">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3.6若乙方纳税人身份与合同约定不符或者计税方式发生变化，并导致甲方可抵扣的进项税额减少或被税务机关要求补缴税款的，则减少的进项税额或补缴的税款应由乙方承担，甲方有权从乙方工程款中扣除。</w:t>
      </w:r>
    </w:p>
    <w:p w14:paraId="6F2106F0">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3.7若甲方从合同价款中扣除了违约金、损失赔偿额等款项的，乙方仍应按扣除前的合同金额开具增值税发票。</w:t>
      </w:r>
    </w:p>
    <w:p w14:paraId="74F7BE69">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3.8增值税发票开票信息</w:t>
      </w:r>
    </w:p>
    <w:p w14:paraId="0C70E606">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甲方</w:t>
      </w:r>
      <w:r>
        <w:rPr>
          <w:rFonts w:hint="eastAsia" w:ascii="仿宋" w:hAnsi="仿宋" w:eastAsia="仿宋" w:cs="仿宋"/>
          <w:bCs/>
          <w:color w:val="000000"/>
          <w:sz w:val="24"/>
          <w:highlight w:val="none"/>
        </w:rPr>
        <w:t>增值税发票开票信息</w:t>
      </w:r>
    </w:p>
    <w:p w14:paraId="748D4585">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                   </w:t>
      </w:r>
    </w:p>
    <w:p w14:paraId="44776EB7">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                       </w:t>
      </w:r>
    </w:p>
    <w:p w14:paraId="5BF77BD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                                 </w:t>
      </w:r>
    </w:p>
    <w:p w14:paraId="35F95D80">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      </w:t>
      </w:r>
    </w:p>
    <w:p w14:paraId="2654EEE2">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                            </w:t>
      </w:r>
    </w:p>
    <w:p w14:paraId="139B0FB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                       </w:t>
      </w:r>
    </w:p>
    <w:p w14:paraId="5ECC872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2）乙方增值税发票开票信息</w:t>
      </w:r>
    </w:p>
    <w:p w14:paraId="56B9857C">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w:t>
      </w:r>
    </w:p>
    <w:p w14:paraId="3E6B1439">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w:t>
      </w:r>
    </w:p>
    <w:p w14:paraId="21D1A6E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w:t>
      </w:r>
    </w:p>
    <w:p w14:paraId="53EA4F4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w:t>
      </w:r>
    </w:p>
    <w:p w14:paraId="2FC179F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w:t>
      </w:r>
    </w:p>
    <w:p w14:paraId="05B33E37">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w:t>
      </w:r>
    </w:p>
    <w:p w14:paraId="24BE0B43">
      <w:pPr>
        <w:tabs>
          <w:tab w:val="left" w:pos="567"/>
        </w:tabs>
        <w:adjustRightInd w:val="0"/>
        <w:snapToGrid w:val="0"/>
        <w:spacing w:line="56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六、物资验收</w:t>
      </w:r>
    </w:p>
    <w:p w14:paraId="1D6B2B6A">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甲方有权利对进场的物资进行各种形式的检验，乙方必须充分配合，且检验结果直接作为判定乙方交付产品质量的依据。检验费由乙方垫付，如检验不合格，检验费用由乙方承担；如检验合格，检验费用由甲方承担。</w:t>
      </w:r>
    </w:p>
    <w:p w14:paraId="5293650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2、乙方必须在交货前对材料的品质、规格等作细致的检验，材料到工地现场卸车后，如发现其技术规格、性能与合同或甲方发出的供货单上的规格不符，质量低劣及受损坏等情况，应按以下情况分别处理：</w:t>
      </w:r>
    </w:p>
    <w:p w14:paraId="2636AD8C">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（1）材料的规格、质量等级与要求不符，甲方可拒绝接收，由乙方自费运出施工现场并重新采购供货，乙方承担重新采购供货的经济支出及对因此造成的甲方及工程损失负责赔偿。</w:t>
      </w:r>
    </w:p>
    <w:p w14:paraId="58D233B6">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（2）因时间晚于甲方通知乙方的计划进货日期的，乙方须承担因此造成的甲方延误工期损失及其他因此可能发生的损失。</w:t>
      </w:r>
    </w:p>
    <w:p w14:paraId="3CF183E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3、乙方负责提供给甲方所需物资的质量保证书、合格证，并由甲方指定负责验收人在送货单上签字作为收货依据。</w:t>
      </w:r>
    </w:p>
    <w:p w14:paraId="70039617">
      <w:pPr>
        <w:tabs>
          <w:tab w:val="left" w:pos="567"/>
        </w:tabs>
        <w:adjustRightInd w:val="0"/>
        <w:snapToGrid w:val="0"/>
        <w:spacing w:line="5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七、违约责任</w:t>
      </w:r>
    </w:p>
    <w:p w14:paraId="162172B9">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1、本合同履行过程中，乙方无正当理由不能按照合同规定或进度计划的要求按时交货，应在相关情况发生后</w:t>
      </w:r>
      <w:r>
        <w:rPr>
          <w:rFonts w:hint="eastAsia" w:ascii="仿宋" w:hAnsi="仿宋" w:eastAsia="仿宋" w:cs="仿宋"/>
          <w:bCs/>
          <w:color w:val="000000"/>
          <w:sz w:val="24"/>
          <w:highlight w:val="none"/>
          <w:lang w:val="en-US" w:eastAsia="zh-CN"/>
        </w:rPr>
        <w:t>12</w:t>
      </w:r>
      <w:r>
        <w:rPr>
          <w:rFonts w:hint="eastAsia" w:ascii="仿宋" w:hAnsi="仿宋" w:eastAsia="仿宋" w:cs="仿宋"/>
          <w:bCs/>
          <w:color w:val="000000"/>
          <w:sz w:val="24"/>
          <w:highlight w:val="none"/>
        </w:rPr>
        <w:t xml:space="preserve">小时内以传真、电报、电传等书面形式将拖延的事实、原因以及可能拖延的期限和理由通知甲方。甲方在收到乙方通知后，有权视具体情况决定采取如下方式之一进行处理： </w:t>
      </w:r>
    </w:p>
    <w:p w14:paraId="382637AA">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Hans"/>
        </w:rPr>
        <w:t>有甲方书面确认的</w:t>
      </w:r>
      <w:r>
        <w:rPr>
          <w:rFonts w:hint="eastAsia" w:ascii="仿宋" w:hAnsi="仿宋" w:eastAsia="仿宋" w:cs="仿宋"/>
          <w:bCs/>
          <w:color w:val="000000"/>
          <w:sz w:val="24"/>
          <w:highlight w:val="none"/>
        </w:rPr>
        <w:t>变更、修改合同</w:t>
      </w:r>
      <w:r>
        <w:rPr>
          <w:rFonts w:hint="eastAsia" w:ascii="仿宋" w:hAnsi="仿宋" w:eastAsia="仿宋" w:cs="仿宋"/>
          <w:bCs/>
          <w:color w:val="000000"/>
          <w:sz w:val="24"/>
          <w:highlight w:val="none"/>
          <w:lang w:val="en-US" w:eastAsia="zh-Hans"/>
        </w:rPr>
        <w:t>内容的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lang w:val="en-US" w:eastAsia="zh-Hans"/>
        </w:rPr>
        <w:t>按照甲方书面确认相应</w:t>
      </w:r>
      <w:r>
        <w:rPr>
          <w:rFonts w:hint="eastAsia" w:ascii="仿宋" w:hAnsi="仿宋" w:eastAsia="仿宋" w:cs="仿宋"/>
          <w:bCs/>
          <w:color w:val="000000"/>
          <w:sz w:val="24"/>
          <w:highlight w:val="none"/>
        </w:rPr>
        <w:t>延长交货时间；</w:t>
      </w:r>
    </w:p>
    <w:p w14:paraId="78D629E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（2）解除或部分解除合同，另行采购相关货物。</w:t>
      </w:r>
    </w:p>
    <w:p w14:paraId="113FFA19">
      <w:pPr>
        <w:tabs>
          <w:tab w:val="left" w:pos="567"/>
        </w:tabs>
        <w:adjustRightInd w:val="0"/>
        <w:snapToGrid w:val="0"/>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无论采取何种方式，除本合同约定的不可抗力外，乙方均应承担相应的误期违约责任，并赔偿由此给甲方造成的一切损失。</w:t>
      </w:r>
      <w:r>
        <w:rPr>
          <w:rFonts w:hint="eastAsia" w:ascii="仿宋" w:hAnsi="仿宋" w:eastAsia="仿宋" w:cs="仿宋"/>
          <w:color w:val="000000"/>
          <w:sz w:val="24"/>
          <w:highlight w:val="none"/>
        </w:rPr>
        <w:t>误期违约金比率为:每迟交1日,按合同总金额的1%计算；误期违约金最高不超过合同总金额的10%。</w:t>
      </w:r>
    </w:p>
    <w:p w14:paraId="07AC28E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在甲方另行采购部分或全部货物的情况下，乙方承担由此造成的价格差额，该差额为以下费用之较高者：</w:t>
      </w:r>
    </w:p>
    <w:p w14:paraId="4326575E">
      <w:pPr>
        <w:tabs>
          <w:tab w:val="left" w:pos="567"/>
        </w:tabs>
        <w:adjustRightInd w:val="0"/>
        <w:snapToGrid w:val="0"/>
        <w:spacing w:line="560" w:lineRule="exact"/>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bCs/>
          <w:color w:val="000000"/>
          <w:sz w:val="24"/>
          <w:highlight w:val="none"/>
        </w:rPr>
        <w:t>（1）</w:t>
      </w:r>
      <w:r>
        <w:rPr>
          <w:rFonts w:hint="eastAsia" w:ascii="仿宋" w:hAnsi="仿宋" w:eastAsia="仿宋" w:cs="仿宋"/>
          <w:color w:val="000000"/>
          <w:sz w:val="24"/>
          <w:highlight w:val="none"/>
        </w:rPr>
        <w:t>当前市场价与相应合同价格之间的差额</w:t>
      </w:r>
      <w:r>
        <w:rPr>
          <w:rFonts w:hint="eastAsia" w:ascii="仿宋" w:hAnsi="仿宋" w:eastAsia="仿宋" w:cs="仿宋"/>
          <w:color w:val="000000"/>
          <w:sz w:val="24"/>
          <w:highlight w:val="none"/>
          <w:lang w:eastAsia="zh-CN"/>
        </w:rPr>
        <w:t>；</w:t>
      </w:r>
    </w:p>
    <w:p w14:paraId="0153C9FA">
      <w:pPr>
        <w:tabs>
          <w:tab w:val="left" w:pos="567"/>
        </w:tabs>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（2）</w:t>
      </w:r>
      <w:r>
        <w:rPr>
          <w:rFonts w:hint="eastAsia" w:ascii="仿宋" w:hAnsi="仿宋" w:eastAsia="仿宋" w:cs="仿宋"/>
          <w:color w:val="000000"/>
          <w:sz w:val="24"/>
          <w:highlight w:val="none"/>
        </w:rPr>
        <w:t>甲方在接受货物时发生的实际费用与本合同价格之间的差额。</w:t>
      </w:r>
    </w:p>
    <w:p w14:paraId="37763AED">
      <w:pPr>
        <w:adjustRightInd w:val="0"/>
        <w:snapToGrid w:val="0"/>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误期违约金从甲方应向乙方支付的合同价款中扣除，不足部分另行追偿。</w:t>
      </w:r>
    </w:p>
    <w:p w14:paraId="60CC2A65">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、合同签订后，乙方不能履约或不能全部履约，甲方有权解除合同，并赔偿因此而造成甲方的一切损失。</w:t>
      </w:r>
    </w:p>
    <w:p w14:paraId="0FD3DA5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、乙方所交物资的品种、型号、规格不符合合同规定或者甲方另行发给乙方通知的，如果甲方同意利用，双方协商</w:t>
      </w:r>
      <w:r>
        <w:rPr>
          <w:rFonts w:hint="eastAsia" w:ascii="仿宋" w:hAnsi="仿宋" w:eastAsia="仿宋" w:cs="仿宋"/>
          <w:bCs/>
          <w:color w:val="000000"/>
          <w:sz w:val="24"/>
          <w:highlight w:val="none"/>
          <w:lang w:val="en-US" w:eastAsia="zh-Hans"/>
        </w:rPr>
        <w:t>书面</w:t>
      </w:r>
      <w:r>
        <w:rPr>
          <w:rFonts w:hint="eastAsia" w:ascii="仿宋" w:hAnsi="仿宋" w:eastAsia="仿宋" w:cs="仿宋"/>
          <w:bCs/>
          <w:color w:val="000000"/>
          <w:sz w:val="24"/>
          <w:highlight w:val="none"/>
        </w:rPr>
        <w:t>定价；如果甲方不能利用或者不同意利用或者双方对于价格不能协商一致的，乙方应负责按甲方要求的时间予以退换，并承担由此造成甲方费用增加、工期延误等损失；如不能予以退换的，按不能交货处理。</w:t>
      </w:r>
    </w:p>
    <w:p w14:paraId="50909B8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4</w:t>
      </w:r>
      <w:r>
        <w:rPr>
          <w:rFonts w:hint="eastAsia" w:ascii="仿宋" w:hAnsi="仿宋" w:eastAsia="仿宋" w:cs="仿宋"/>
          <w:bCs/>
          <w:color w:val="000000"/>
          <w:sz w:val="24"/>
          <w:highlight w:val="none"/>
        </w:rPr>
        <w:t>、对于因乙方运输方式不合理造成货物到达指定地点之后货物的损失或丢失，乙方应承担全部责任。</w:t>
      </w:r>
    </w:p>
    <w:p w14:paraId="2B30CE40">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、乙方对甲方造成的经济损失，甲方有权从乙方的余款中扣除，余款不足抵补损失时，应由乙方补齐差额部分。</w:t>
      </w:r>
    </w:p>
    <w:p w14:paraId="6D4E4D1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14:paraId="1D80291E">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7</w:t>
      </w:r>
      <w:r>
        <w:rPr>
          <w:rFonts w:hint="eastAsia" w:ascii="仿宋" w:hAnsi="仿宋" w:eastAsia="仿宋" w:cs="仿宋"/>
          <w:bCs/>
          <w:color w:val="000000"/>
          <w:sz w:val="24"/>
          <w:highlight w:val="none"/>
        </w:rPr>
        <w:t>、乙方装卸、运输过程中的一切人员、机械、车辆安全，均全部由乙方承担，乙方应按国家及地方规定办理相关手续及各类保险、责任自负。</w:t>
      </w:r>
    </w:p>
    <w:p w14:paraId="0EA42918">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8</w:t>
      </w:r>
      <w:r>
        <w:rPr>
          <w:rFonts w:hint="eastAsia" w:ascii="仿宋" w:hAnsi="仿宋" w:eastAsia="仿宋" w:cs="仿宋"/>
          <w:bCs/>
          <w:color w:val="000000"/>
          <w:sz w:val="24"/>
          <w:highlight w:val="none"/>
        </w:rPr>
        <w:t>、乙方装卸、运输中应做相应的环保措施（符合国家环保要求），因环保造成的一切罚款由乙方自行承担。</w:t>
      </w:r>
    </w:p>
    <w:p w14:paraId="6D18044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9</w:t>
      </w:r>
      <w:r>
        <w:rPr>
          <w:rFonts w:hint="eastAsia" w:ascii="仿宋" w:hAnsi="仿宋" w:eastAsia="仿宋" w:cs="仿宋"/>
          <w:bCs/>
          <w:color w:val="000000"/>
          <w:sz w:val="24"/>
          <w:highlight w:val="none"/>
        </w:rPr>
        <w:t>、乙方应保证其对货物具有所有权或受委托代理销售权，并向甲方出具相关凭证。乙方亦保证交付的货物不附有任何担保权或其他留置权。如第三方向甲方主张任何权利，乙方负责与第三方交涉并承担由此引起的一切法律责任和费用及赔偿甲方的一切损失。</w:t>
      </w:r>
    </w:p>
    <w:p w14:paraId="4C3EEC6A">
      <w:pPr>
        <w:tabs>
          <w:tab w:val="left" w:pos="567"/>
        </w:tabs>
        <w:adjustRightInd w:val="0"/>
        <w:snapToGrid w:val="0"/>
        <w:spacing w:line="5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0</w:t>
      </w:r>
      <w:r>
        <w:rPr>
          <w:rFonts w:hint="eastAsia" w:ascii="仿宋" w:hAnsi="仿宋" w:eastAsia="仿宋" w:cs="仿宋"/>
          <w:bCs/>
          <w:color w:val="000000"/>
          <w:sz w:val="24"/>
          <w:highlight w:val="none"/>
        </w:rPr>
        <w:t xml:space="preserve">、因乙方原因导致法院、仲裁委、公安局等政府部门向甲方出具协助执行通知书等法律文书或因乙方对外发生诉讼或仲裁案件，而对本项目产生影响的，甲方有权解除合同，并且乙方应立即退场，否则乙方需向甲方承担合同额的5%的违约金。  </w:t>
      </w:r>
    </w:p>
    <w:p w14:paraId="7D91CA59">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1</w:t>
      </w:r>
      <w:r>
        <w:rPr>
          <w:rFonts w:hint="eastAsia"/>
          <w:highlight w:val="none"/>
        </w:rPr>
        <w:t>、</w:t>
      </w:r>
      <w:r>
        <w:rPr>
          <w:rFonts w:hint="eastAsia" w:ascii="仿宋" w:hAnsi="仿宋" w:eastAsia="仿宋" w:cs="仿宋"/>
          <w:bCs/>
          <w:color w:val="000000"/>
          <w:sz w:val="24"/>
          <w:highlight w:val="none"/>
        </w:rPr>
        <w:t>乙方存在任何违约行为，除按照前述约定承担违约责任外，还应赔偿甲方全部损失，甲方损失包括但不限于甲方为主张权利产生的诉讼费、保全费、保全保险费、律师费、差旅费等全部费用。</w:t>
      </w:r>
    </w:p>
    <w:p w14:paraId="0DAD1C18">
      <w:pPr>
        <w:tabs>
          <w:tab w:val="left" w:pos="567"/>
        </w:tabs>
        <w:adjustRightInd w:val="0"/>
        <w:snapToGrid w:val="0"/>
        <w:spacing w:line="5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八、不可抗力</w:t>
      </w:r>
    </w:p>
    <w:p w14:paraId="12ADB69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14:paraId="1502249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 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30</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日以上时，双方可通过友好协商在合理的时间内达成终止合同或进一步履行合同的协议。</w:t>
      </w:r>
    </w:p>
    <w:p w14:paraId="7AAFCEA0">
      <w:pPr>
        <w:tabs>
          <w:tab w:val="left" w:pos="567"/>
        </w:tabs>
        <w:adjustRightInd w:val="0"/>
        <w:snapToGrid w:val="0"/>
        <w:spacing w:line="560" w:lineRule="exact"/>
        <w:ind w:firstLine="836" w:firstLineChars="347"/>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rPr>
        <w:t>九、</w:t>
      </w:r>
      <w:r>
        <w:rPr>
          <w:rFonts w:hint="eastAsia" w:ascii="仿宋" w:hAnsi="仿宋" w:eastAsia="仿宋" w:cs="仿宋"/>
          <w:b/>
          <w:color w:val="000000"/>
          <w:sz w:val="24"/>
          <w:highlight w:val="none"/>
          <w:lang w:val="en-US" w:eastAsia="zh-CN"/>
        </w:rPr>
        <w:t>担保</w:t>
      </w:r>
    </w:p>
    <w:p w14:paraId="15B8B901">
      <w:pPr>
        <w:tabs>
          <w:tab w:val="left" w:pos="567"/>
        </w:tabs>
        <w:adjustRightInd w:val="0"/>
        <w:snapToGrid w:val="0"/>
        <w:spacing w:line="560" w:lineRule="exact"/>
        <w:ind w:firstLine="480" w:firstLineChars="200"/>
        <w:rPr>
          <w:rFonts w:hint="eastAsia" w:ascii="仿宋" w:hAnsi="仿宋" w:eastAsia="仿宋" w:cs="仿宋"/>
          <w:b/>
          <w:color w:val="000000"/>
          <w:sz w:val="24"/>
          <w:highlight w:val="none"/>
          <w:lang w:val="en-US" w:eastAsia="zh-CN"/>
        </w:rPr>
      </w:pPr>
      <w:r>
        <w:rPr>
          <w:rFonts w:hint="eastAsia" w:ascii="仿宋" w:hAnsi="仿宋" w:eastAsia="仿宋" w:cs="仿宋"/>
          <w:bCs/>
          <w:color w:val="000000"/>
          <w:sz w:val="24"/>
          <w:highlight w:val="none"/>
          <w:lang w:val="en-US" w:eastAsia="zh-CN"/>
        </w:rPr>
        <w:t>/</w:t>
      </w:r>
    </w:p>
    <w:p w14:paraId="1B2E9A16">
      <w:pPr>
        <w:tabs>
          <w:tab w:val="left" w:pos="567"/>
        </w:tabs>
        <w:adjustRightInd w:val="0"/>
        <w:snapToGrid w:val="0"/>
        <w:spacing w:line="560" w:lineRule="exact"/>
        <w:ind w:firstLine="836" w:firstLineChars="347"/>
        <w:rPr>
          <w:rFonts w:ascii="仿宋" w:hAnsi="仿宋" w:eastAsia="仿宋" w:cs="仿宋"/>
          <w:b/>
          <w:bCs/>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w:t>
      </w:r>
      <w:r>
        <w:rPr>
          <w:rFonts w:hint="eastAsia" w:ascii="仿宋" w:hAnsi="仿宋" w:eastAsia="仿宋" w:cs="仿宋"/>
          <w:b/>
          <w:bCs/>
          <w:color w:val="000000"/>
          <w:sz w:val="24"/>
          <w:highlight w:val="none"/>
        </w:rPr>
        <w:t>争议解决</w:t>
      </w:r>
    </w:p>
    <w:p w14:paraId="5283DFA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发生争议后，双方首先协商解决，协商不成时，提交甲方住所地有管辖权的人民法院解决。本合同关于争议的解决方式的约定具有最终效力，双方以后发生的补充合同、会议纪要、往来函件、发料单、结算单等涉及到争议解决方式的，均不得对抗此约定。</w:t>
      </w:r>
    </w:p>
    <w:p w14:paraId="6AD48275">
      <w:pPr>
        <w:tabs>
          <w:tab w:val="left" w:pos="567"/>
        </w:tabs>
        <w:adjustRightInd w:val="0"/>
        <w:snapToGrid w:val="0"/>
        <w:spacing w:line="560" w:lineRule="exact"/>
        <w:ind w:firstLine="723" w:firstLineChars="300"/>
        <w:rPr>
          <w:rFonts w:ascii="仿宋" w:hAnsi="仿宋" w:eastAsia="仿宋" w:cs="仿宋"/>
          <w:b/>
          <w:bCs/>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val="en-US" w:eastAsia="zh-CN"/>
        </w:rPr>
        <w:t>一</w:t>
      </w:r>
      <w:r>
        <w:rPr>
          <w:rFonts w:hint="eastAsia" w:ascii="仿宋" w:hAnsi="仿宋" w:eastAsia="仿宋" w:cs="仿宋"/>
          <w:b/>
          <w:color w:val="000000"/>
          <w:sz w:val="24"/>
          <w:highlight w:val="none"/>
        </w:rPr>
        <w:t>、</w:t>
      </w:r>
      <w:r>
        <w:rPr>
          <w:rFonts w:hint="eastAsia" w:ascii="仿宋" w:hAnsi="仿宋" w:eastAsia="仿宋" w:cs="仿宋"/>
          <w:b/>
          <w:bCs/>
          <w:color w:val="000000"/>
          <w:sz w:val="24"/>
          <w:highlight w:val="none"/>
        </w:rPr>
        <w:t>合同效力及份数</w:t>
      </w:r>
    </w:p>
    <w:p w14:paraId="266E11D3">
      <w:pPr>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本合同在双方盖章后生效。</w:t>
      </w:r>
    </w:p>
    <w:p w14:paraId="281BE103">
      <w:pPr>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本合同印刷字体内容若有修改变动（包括但不限于删除、增添、涂改等），必须经双方在修改处同时盖章确认方可生效，否则仍以原印刷字体内容为准。</w:t>
      </w:r>
    </w:p>
    <w:p w14:paraId="5F9BFB7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2、本合同一式</w:t>
      </w:r>
      <w:r>
        <w:rPr>
          <w:rFonts w:hint="eastAsia" w:ascii="仿宋" w:hAnsi="仿宋" w:eastAsia="仿宋" w:cs="仿宋"/>
          <w:bCs/>
          <w:color w:val="000000"/>
          <w:sz w:val="24"/>
          <w:highlight w:val="none"/>
          <w:u w:val="single"/>
        </w:rPr>
        <w:t>陆</w:t>
      </w:r>
      <w:r>
        <w:rPr>
          <w:rFonts w:hint="eastAsia" w:ascii="仿宋" w:hAnsi="仿宋" w:eastAsia="仿宋" w:cs="仿宋"/>
          <w:bCs/>
          <w:color w:val="000000"/>
          <w:sz w:val="24"/>
          <w:highlight w:val="none"/>
        </w:rPr>
        <w:t>份，具有同等法律效力，甲方执</w:t>
      </w:r>
      <w:r>
        <w:rPr>
          <w:rFonts w:hint="eastAsia" w:ascii="仿宋" w:hAnsi="仿宋" w:eastAsia="仿宋" w:cs="仿宋"/>
          <w:bCs/>
          <w:color w:val="000000"/>
          <w:sz w:val="24"/>
          <w:highlight w:val="none"/>
          <w:u w:val="single"/>
        </w:rPr>
        <w:t>肆</w:t>
      </w:r>
      <w:r>
        <w:rPr>
          <w:rFonts w:hint="eastAsia" w:ascii="仿宋" w:hAnsi="仿宋" w:eastAsia="仿宋" w:cs="仿宋"/>
          <w:bCs/>
          <w:color w:val="000000"/>
          <w:sz w:val="24"/>
          <w:highlight w:val="none"/>
        </w:rPr>
        <w:t>份，乙方</w:t>
      </w:r>
      <w:r>
        <w:rPr>
          <w:rFonts w:hint="eastAsia" w:ascii="仿宋" w:hAnsi="仿宋" w:eastAsia="仿宋" w:cs="仿宋"/>
          <w:bCs/>
          <w:color w:val="000000"/>
          <w:sz w:val="24"/>
          <w:highlight w:val="none"/>
          <w:u w:val="single"/>
        </w:rPr>
        <w:t>贰</w:t>
      </w:r>
      <w:r>
        <w:rPr>
          <w:rFonts w:hint="eastAsia" w:ascii="仿宋" w:hAnsi="仿宋" w:eastAsia="仿宋" w:cs="仿宋"/>
          <w:bCs/>
          <w:color w:val="000000"/>
          <w:sz w:val="24"/>
          <w:highlight w:val="none"/>
        </w:rPr>
        <w:t>份。</w:t>
      </w:r>
    </w:p>
    <w:p w14:paraId="6F00D47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3、本合同未尽事宜，由甲乙双方另行协商。</w:t>
      </w:r>
    </w:p>
    <w:p w14:paraId="4C55490A">
      <w:pPr>
        <w:tabs>
          <w:tab w:val="left" w:pos="567"/>
        </w:tabs>
        <w:adjustRightInd w:val="0"/>
        <w:snapToGrid w:val="0"/>
        <w:spacing w:line="560" w:lineRule="exact"/>
        <w:ind w:firstLine="723" w:firstLineChars="300"/>
        <w:rPr>
          <w:rFonts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val="en-US" w:eastAsia="zh-CN"/>
        </w:rPr>
        <w:t>二</w:t>
      </w:r>
      <w:r>
        <w:rPr>
          <w:rFonts w:hint="eastAsia" w:ascii="仿宋" w:hAnsi="仿宋" w:eastAsia="仿宋" w:cs="仿宋"/>
          <w:b/>
          <w:color w:val="000000"/>
          <w:sz w:val="24"/>
          <w:highlight w:val="none"/>
        </w:rPr>
        <w:t>、其他约定</w:t>
      </w:r>
    </w:p>
    <w:p w14:paraId="21FFE61B">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000000"/>
          <w:sz w:val="24"/>
          <w:highlight w:val="none"/>
        </w:rPr>
        <w:t>合同权利或义务的转移需经相对方书面同意,否则该转让行为对相对方不发生法律效</w:t>
      </w:r>
      <w:r>
        <w:rPr>
          <w:rFonts w:hint="eastAsia" w:ascii="仿宋" w:hAnsi="仿宋" w:eastAsia="仿宋" w:cs="仿宋"/>
          <w:bCs/>
          <w:color w:val="auto"/>
          <w:sz w:val="24"/>
          <w:highlight w:val="none"/>
        </w:rPr>
        <w:t>力。</w:t>
      </w:r>
    </w:p>
    <w:p w14:paraId="3CA9477F">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63216D5A">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05D01510">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甲    方：（盖章）　 　            乙    方：（盖章） </w:t>
      </w:r>
    </w:p>
    <w:p w14:paraId="0252D1CE">
      <w:pPr>
        <w:tabs>
          <w:tab w:val="left" w:pos="567"/>
        </w:tabs>
        <w:adjustRightInd w:val="0"/>
        <w:snapToGrid w:val="0"/>
        <w:spacing w:line="360" w:lineRule="exact"/>
        <w:ind w:firstLine="2" w:firstLineChars="1"/>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69CA10D0">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法定代表人：                       法定代表人：</w:t>
      </w:r>
    </w:p>
    <w:p w14:paraId="66A2AB97">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或授权委托人：                     或授权委托人：</w:t>
      </w:r>
    </w:p>
    <w:p w14:paraId="25D68C35">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1E7BDD7A">
      <w:pPr>
        <w:widowControl/>
        <w:spacing w:line="360" w:lineRule="auto"/>
        <w:ind w:firstLine="480" w:firstLineChars="200"/>
        <w:outlineLvl w:val="9"/>
        <w:rPr>
          <w:rFonts w:hint="eastAsia" w:hAnsi="宋体" w:cs="宋体"/>
          <w:b/>
          <w:color w:val="auto"/>
          <w:sz w:val="32"/>
          <w:szCs w:val="32"/>
          <w:highlight w:val="none"/>
        </w:rPr>
      </w:pPr>
      <w:r>
        <w:rPr>
          <w:rFonts w:hint="eastAsia" w:ascii="仿宋" w:hAnsi="仿宋" w:eastAsia="仿宋" w:cs="仿宋"/>
          <w:color w:val="000000"/>
          <w:sz w:val="24"/>
          <w:highlight w:val="none"/>
        </w:rPr>
        <w:t xml:space="preserve">时间：   年  月  日                时间：   年  月  日 </w:t>
      </w:r>
    </w:p>
    <w:p w14:paraId="4FF65EF2">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3DB7">
    <w:pPr>
      <w:pStyle w:val="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A828D2">
                          <w:pPr>
                            <w:pStyle w:val="4"/>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07A828D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87CD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FADB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D91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F761B"/>
    <w:multiLevelType w:val="singleLevel"/>
    <w:tmpl w:val="243F761B"/>
    <w:lvl w:ilvl="0" w:tentative="0">
      <w:start w:val="1"/>
      <w:numFmt w:val="chineseCounting"/>
      <w:suff w:val="nothing"/>
      <w:lvlText w:val="%1、"/>
      <w:lvlJc w:val="left"/>
      <w:rPr>
        <w:rFonts w:hint="eastAsia"/>
      </w:rPr>
    </w:lvl>
  </w:abstractNum>
  <w:abstractNum w:abstractNumId="1">
    <w:nsid w:val="7F799585"/>
    <w:multiLevelType w:val="singleLevel"/>
    <w:tmpl w:val="7F799585"/>
    <w:lvl w:ilvl="0" w:tentative="0">
      <w:start w:val="1"/>
      <w:numFmt w:val="decimal"/>
      <w:suff w:val="nothing"/>
      <w:lvlText w:val="%1、"/>
      <w:lvlJc w:val="left"/>
      <w:pPr>
        <w:ind w:left="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B7989"/>
    <w:rsid w:val="204B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kern w:val="0"/>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6">
    <w:name w:val="Body Text First Indent"/>
    <w:basedOn w:val="3"/>
    <w:next w:val="7"/>
    <w:semiHidden/>
    <w:qFormat/>
    <w:uiPriority w:val="0"/>
    <w:pPr>
      <w:ind w:firstLine="420" w:firstLineChars="100"/>
    </w:pPr>
    <w:rPr>
      <w:rFonts w:eastAsia="Times New Roman"/>
    </w:rPr>
  </w:style>
  <w:style w:type="paragraph" w:customStyle="1" w:styleId="7">
    <w:name w:val="段落正文"/>
    <w:basedOn w:val="1"/>
    <w:qFormat/>
    <w:uiPriority w:val="0"/>
    <w:pPr>
      <w:spacing w:before="50" w:beforeLines="50" w:line="360" w:lineRule="auto"/>
      <w:ind w:firstLine="200" w:firstLineChars="200"/>
    </w:pPr>
    <w:rPr>
      <w:spacing w:val="2"/>
      <w:sz w:val="24"/>
      <w:szCs w:val="20"/>
    </w:rPr>
  </w:style>
  <w:style w:type="character" w:customStyle="1" w:styleId="10">
    <w:name w:val="font1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1\AppData\Local\Temp\ksohtml19756\wps3.jpg" TargetMode="Externa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file:///C:\Users\ADMINI~1\AppData\Local\Temp\ksohtml19756\wps5.jpg" TargetMode="External"/><Relationship Id="rId12" Type="http://schemas.openxmlformats.org/officeDocument/2006/relationships/image" Target="media/image3.jpeg"/><Relationship Id="rId11" Type="http://schemas.openxmlformats.org/officeDocument/2006/relationships/image" Target="file:///C:\Users\ADMINI~1\AppData\Local\Temp\ksohtml19756\wps4.jpg" TargetMode="Externa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2025-06-20T10:07:00Z</dcterms:created>
  <dc:creator>三岁羡</dc:creator>
  <cp:lastModifiedBy>三岁羡</cp:lastModifiedBy>
  <dcterms:modified xsi:type="dcterms:W3CDTF">2025-06-20T10:07:41Z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535B4840123144338003BD9B3494033B_11</vt:lpwstr>
  </property>
  <property fmtid="{D5CDD505-2E9C-101B-9397-08002B2CF9AE}" pid="4" name="KSOTemplateDocerSaveRecord">
    <vt:lpwstr>eyJoZGlkIjoiZjZlZTYxZGMxZWQ3NTVmYTllZGZjNjRlZGUxMTRhNDUiLCJ1c2VySWQiOiI0OTA4MDEyMzMifQ==</vt:lpwstr>
  </property>
</Properties>
</file>