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二、营业执照及干混砂浆专业承包资质相关资料</w:t>
      </w:r>
    </w:p>
    <w:p w14:paraId="46B400FE">
      <w:pPr>
        <w:rPr>
          <w:rFonts w:hint="default" w:ascii="Times New Roman" w:hAnsi="Times New Roman" w:cs="Times New Roman"/>
          <w:lang w:val="en-US" w:eastAsia="zh-CN"/>
        </w:rPr>
      </w:pPr>
    </w:p>
    <w:p w14:paraId="1ECB61BD">
      <w:pPr>
        <w:pStyle w:val="2"/>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2"/>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2"/>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2"/>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2"/>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2"/>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2"/>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2"/>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p>
    <w:p w14:paraId="11BFDA28">
      <w:pPr>
        <w:pStyle w:val="2"/>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2"/>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2"/>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2"/>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2"/>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2"/>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2"/>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2"/>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2"/>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w:t>
      </w:r>
      <w:r>
        <w:rPr>
          <w:rFonts w:hint="eastAsia"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袋装干混砂浆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袋装干混砂浆</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2"/>
        <w:rPr>
          <w:rFonts w:hint="eastAsia" w:ascii="Times New Roman" w:hAnsi="Times New Roman" w:eastAsia="仿宋_GB2312" w:cs="Times New Roman"/>
          <w:color w:val="auto"/>
          <w:sz w:val="22"/>
          <w:szCs w:val="22"/>
          <w:highlight w:val="none"/>
          <w:lang w:val="en-US" w:eastAsia="zh-CN"/>
        </w:rPr>
      </w:pPr>
      <w:r>
        <w:rPr>
          <w:rFonts w:hint="eastAsia" w:eastAsia="仿宋_GB2312" w:cs="Times New Roman"/>
          <w:color w:val="auto"/>
          <w:sz w:val="22"/>
          <w:szCs w:val="22"/>
          <w:highlight w:val="none"/>
          <w:lang w:val="en-US" w:eastAsia="zh-CN"/>
        </w:rPr>
        <w:t>注：</w:t>
      </w:r>
      <w:r>
        <w:rPr>
          <w:rFonts w:hint="default" w:ascii="Times New Roman" w:hAnsi="Times New Roman" w:eastAsia="仿宋_GB2312" w:cs="Times New Roman"/>
          <w:b w:val="0"/>
          <w:bCs w:val="0"/>
          <w:color w:val="auto"/>
          <w:sz w:val="22"/>
          <w:szCs w:val="22"/>
          <w:highlight w:val="none"/>
          <w:lang w:val="en-US" w:eastAsia="zh-CN"/>
        </w:rPr>
        <w:t>所有报价均用人民币表示，该</w:t>
      </w:r>
      <w:r>
        <w:rPr>
          <w:rFonts w:hint="eastAsia" w:eastAsia="仿宋_GB2312" w:cs="Times New Roman"/>
          <w:b w:val="0"/>
          <w:bCs w:val="0"/>
          <w:color w:val="auto"/>
          <w:sz w:val="22"/>
          <w:szCs w:val="22"/>
          <w:highlight w:val="none"/>
          <w:lang w:val="en-US" w:eastAsia="zh-CN"/>
        </w:rPr>
        <w:t>单价</w:t>
      </w:r>
      <w:r>
        <w:rPr>
          <w:rFonts w:hint="default" w:ascii="Times New Roman" w:hAnsi="Times New Roman" w:eastAsia="仿宋_GB2312" w:cs="Times New Roman"/>
          <w:b w:val="0"/>
          <w:bCs w:val="0"/>
          <w:color w:val="auto"/>
          <w:sz w:val="22"/>
          <w:szCs w:val="22"/>
          <w:highlight w:val="none"/>
          <w:lang w:val="en-US" w:eastAsia="zh-CN"/>
        </w:rPr>
        <w:t>为固定</w:t>
      </w:r>
      <w:r>
        <w:rPr>
          <w:rFonts w:hint="eastAsia" w:eastAsia="仿宋_GB2312" w:cs="Times New Roman"/>
          <w:b w:val="0"/>
          <w:bCs w:val="0"/>
          <w:color w:val="auto"/>
          <w:sz w:val="22"/>
          <w:szCs w:val="22"/>
          <w:highlight w:val="none"/>
          <w:lang w:val="en-US" w:eastAsia="zh-CN"/>
        </w:rPr>
        <w:t>综合单价</w:t>
      </w:r>
      <w:r>
        <w:rPr>
          <w:rFonts w:hint="default" w:ascii="Times New Roman" w:hAnsi="Times New Roman" w:eastAsia="仿宋_GB2312" w:cs="Times New Roman"/>
          <w:b w:val="0"/>
          <w:bCs w:val="0"/>
          <w:color w:val="auto"/>
          <w:sz w:val="22"/>
          <w:szCs w:val="22"/>
          <w:highlight w:val="none"/>
          <w:lang w:val="en-US" w:eastAsia="zh-CN"/>
        </w:rPr>
        <w:t>，包括但不限于</w:t>
      </w:r>
      <w:r>
        <w:rPr>
          <w:rFonts w:hint="eastAsia" w:eastAsia="仿宋_GB2312" w:cs="Times New Roman"/>
          <w:b w:val="0"/>
          <w:bCs w:val="0"/>
          <w:color w:val="auto"/>
          <w:sz w:val="22"/>
          <w:szCs w:val="22"/>
          <w:highlight w:val="none"/>
          <w:lang w:val="en-US" w:eastAsia="zh-CN"/>
        </w:rPr>
        <w:t>袋装费、运输费</w:t>
      </w:r>
      <w:r>
        <w:rPr>
          <w:rFonts w:hint="default" w:ascii="Times New Roman" w:hAnsi="Times New Roman" w:eastAsia="仿宋_GB2312" w:cs="Times New Roman"/>
          <w:b w:val="0"/>
          <w:bCs w:val="0"/>
          <w:color w:val="auto"/>
          <w:sz w:val="22"/>
          <w:szCs w:val="22"/>
          <w:highlight w:val="none"/>
          <w:lang w:val="en-US" w:eastAsia="zh-CN"/>
        </w:rPr>
        <w:t>、</w:t>
      </w:r>
      <w:r>
        <w:rPr>
          <w:rFonts w:hint="eastAsia" w:eastAsia="仿宋_GB2312" w:cs="Times New Roman"/>
          <w:b w:val="0"/>
          <w:bCs w:val="0"/>
          <w:color w:val="auto"/>
          <w:sz w:val="22"/>
          <w:szCs w:val="22"/>
          <w:highlight w:val="none"/>
          <w:lang w:val="en-US" w:eastAsia="zh-CN"/>
        </w:rPr>
        <w:t>管理费、利润、税金</w:t>
      </w:r>
      <w:r>
        <w:rPr>
          <w:rFonts w:hint="default" w:ascii="Times New Roman" w:hAnsi="Times New Roman" w:eastAsia="仿宋_GB2312" w:cs="Times New Roman"/>
          <w:b w:val="0"/>
          <w:bCs w:val="0"/>
          <w:color w:val="auto"/>
          <w:sz w:val="22"/>
          <w:szCs w:val="22"/>
          <w:highlight w:val="none"/>
          <w:lang w:val="en-US" w:eastAsia="zh-CN"/>
        </w:rPr>
        <w:t>等为完成本项目</w:t>
      </w:r>
      <w:r>
        <w:rPr>
          <w:rFonts w:hint="eastAsia" w:eastAsia="仿宋_GB2312" w:cs="Times New Roman"/>
          <w:b w:val="0"/>
          <w:bCs w:val="0"/>
          <w:color w:val="auto"/>
          <w:sz w:val="22"/>
          <w:szCs w:val="22"/>
          <w:highlight w:val="none"/>
          <w:lang w:val="en-US" w:eastAsia="zh-CN"/>
        </w:rPr>
        <w:t>材料供应</w:t>
      </w:r>
      <w:r>
        <w:rPr>
          <w:rFonts w:hint="default" w:ascii="Times New Roman" w:hAnsi="Times New Roman" w:eastAsia="仿宋_GB2312" w:cs="Times New Roman"/>
          <w:b w:val="0"/>
          <w:bCs w:val="0"/>
          <w:color w:val="auto"/>
          <w:sz w:val="22"/>
          <w:szCs w:val="22"/>
          <w:highlight w:val="none"/>
          <w:lang w:val="en-US" w:eastAsia="zh-CN"/>
        </w:rPr>
        <w:t>的所有费用</w:t>
      </w:r>
      <w:r>
        <w:rPr>
          <w:rFonts w:hint="eastAsia" w:ascii="Times New Roman" w:hAnsi="Times New Roman" w:eastAsia="仿宋_GB2312" w:cs="Times New Roman"/>
          <w:b w:val="0"/>
          <w:bCs w:val="0"/>
          <w:color w:val="auto"/>
          <w:sz w:val="22"/>
          <w:szCs w:val="22"/>
          <w:highlight w:val="none"/>
          <w:lang w:val="en-US" w:eastAsia="zh-CN"/>
        </w:rPr>
        <w:t>。</w:t>
      </w:r>
    </w:p>
    <w:p w14:paraId="0860BB4E">
      <w:pPr>
        <w:rPr>
          <w:rFonts w:hint="default" w:ascii="Times New Roman" w:hAnsi="Times New Roman" w:eastAsia="仿宋_GB2312" w:cs="Times New Roman"/>
          <w:color w:val="auto"/>
          <w:sz w:val="32"/>
          <w:szCs w:val="32"/>
          <w:highlight w:val="none"/>
        </w:rPr>
      </w:pPr>
    </w:p>
    <w:p w14:paraId="6B7FECD4">
      <w:pPr>
        <w:pStyle w:val="2"/>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2"/>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2"/>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2"/>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2"/>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2"/>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2"/>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2"/>
        <w:rPr>
          <w:rFonts w:hint="eastAsia" w:cs="Times New Roman"/>
          <w:lang w:val="en-US" w:eastAsia="zh-CN"/>
        </w:rPr>
      </w:pPr>
      <w:r>
        <w:rPr>
          <w:rFonts w:hint="eastAsia" w:cs="Times New Roman"/>
          <w:lang w:val="en-US" w:eastAsia="zh-CN"/>
        </w:rPr>
        <w:t>附件：</w:t>
      </w:r>
    </w:p>
    <w:tbl>
      <w:tblPr>
        <w:tblStyle w:val="5"/>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54"/>
      </w:tblGrid>
      <w:tr w14:paraId="6BD8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774" w:type="dxa"/>
            <w:gridSpan w:val="10"/>
            <w:tcBorders>
              <w:top w:val="nil"/>
              <w:left w:val="nil"/>
              <w:bottom w:val="nil"/>
              <w:right w:val="nil"/>
            </w:tcBorders>
            <w:shd w:val="clear" w:color="auto" w:fill="auto"/>
            <w:vAlign w:val="center"/>
          </w:tcPr>
          <w:p w14:paraId="4208810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袋装干混砂浆报价清单</w:t>
            </w:r>
          </w:p>
        </w:tc>
      </w:tr>
      <w:tr w14:paraId="7959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r>
              <w:rPr>
                <w:rFonts w:hint="eastAsia" w:ascii="宋体" w:hAnsi="宋体" w:cs="宋体"/>
                <w:i w:val="0"/>
                <w:iCs w:val="0"/>
                <w:color w:val="000000"/>
                <w:kern w:val="0"/>
                <w:sz w:val="20"/>
                <w:szCs w:val="20"/>
                <w:u w:val="none"/>
                <w:lang w:val="en-US" w:eastAsia="zh-CN" w:bidi="ar"/>
              </w:rPr>
              <w:t>（暂估）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最高单价限价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5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1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569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4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E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A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8E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C130">
            <w:pPr>
              <w:jc w:val="center"/>
              <w:rPr>
                <w:rFonts w:hint="eastAsia" w:ascii="宋体" w:hAnsi="宋体" w:eastAsia="宋体" w:cs="宋体"/>
                <w:i w:val="0"/>
                <w:iCs w:val="0"/>
                <w:color w:val="000000"/>
                <w:sz w:val="20"/>
                <w:szCs w:val="20"/>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9A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其中袋装费</w:t>
            </w:r>
            <w:r>
              <w:rPr>
                <w:rStyle w:val="8"/>
                <w:lang w:val="en-US" w:eastAsia="zh-CN" w:bidi="ar"/>
              </w:rPr>
              <w:t xml:space="preserve">     </w:t>
            </w:r>
            <w:r>
              <w:rPr>
                <w:rStyle w:val="7"/>
                <w:lang w:val="en-US" w:eastAsia="zh-CN" w:bidi="ar"/>
              </w:rPr>
              <w:t>元/吨</w:t>
            </w:r>
          </w:p>
        </w:tc>
      </w:tr>
      <w:tr w14:paraId="48AF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6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9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F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6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9D0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CD17">
            <w:pPr>
              <w:jc w:val="center"/>
              <w:rPr>
                <w:rFonts w:hint="eastAsia" w:ascii="宋体" w:hAnsi="宋体" w:eastAsia="宋体" w:cs="宋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4004">
            <w:pPr>
              <w:jc w:val="center"/>
              <w:rPr>
                <w:rFonts w:hint="eastAsia" w:ascii="宋体" w:hAnsi="宋体" w:eastAsia="宋体" w:cs="宋体"/>
                <w:i w:val="0"/>
                <w:iCs w:val="0"/>
                <w:color w:val="000000"/>
                <w:sz w:val="20"/>
                <w:szCs w:val="20"/>
                <w:u w:val="none"/>
              </w:rPr>
            </w:pPr>
          </w:p>
        </w:tc>
      </w:tr>
      <w:tr w14:paraId="7B28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4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0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0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C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9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183C">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38D">
            <w:pPr>
              <w:jc w:val="center"/>
              <w:rPr>
                <w:rFonts w:hint="eastAsia" w:ascii="宋体" w:hAnsi="宋体" w:eastAsia="宋体" w:cs="宋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E938">
            <w:pPr>
              <w:jc w:val="center"/>
              <w:rPr>
                <w:rFonts w:hint="eastAsia" w:ascii="宋体" w:hAnsi="宋体" w:eastAsia="宋体" w:cs="宋体"/>
                <w:i w:val="0"/>
                <w:iCs w:val="0"/>
                <w:color w:val="000000"/>
                <w:sz w:val="20"/>
                <w:szCs w:val="20"/>
                <w:u w:val="none"/>
              </w:rPr>
            </w:pPr>
          </w:p>
        </w:tc>
      </w:tr>
      <w:tr w14:paraId="7C8C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8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袋装干混抹灰砂浆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F0E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1377">
            <w:pPr>
              <w:jc w:val="center"/>
              <w:rPr>
                <w:rFonts w:hint="eastAsia" w:ascii="宋体" w:hAnsi="宋体" w:eastAsia="宋体" w:cs="宋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AF58">
            <w:pPr>
              <w:jc w:val="center"/>
              <w:rPr>
                <w:rFonts w:hint="eastAsia" w:ascii="宋体" w:hAnsi="宋体" w:eastAsia="宋体" w:cs="宋体"/>
                <w:i w:val="0"/>
                <w:iCs w:val="0"/>
                <w:color w:val="000000"/>
                <w:sz w:val="20"/>
                <w:szCs w:val="20"/>
                <w:u w:val="none"/>
              </w:rPr>
            </w:pPr>
          </w:p>
        </w:tc>
      </w:tr>
      <w:tr w14:paraId="244A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4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A80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16A">
            <w:pPr>
              <w:jc w:val="center"/>
              <w:rPr>
                <w:rFonts w:hint="eastAsia" w:ascii="宋体" w:hAnsi="宋体" w:eastAsia="宋体" w:cs="宋体"/>
                <w:i w:val="0"/>
                <w:iCs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0D689">
            <w:pPr>
              <w:jc w:val="center"/>
              <w:rPr>
                <w:rFonts w:hint="eastAsia" w:ascii="宋体" w:hAnsi="宋体" w:eastAsia="宋体" w:cs="宋体"/>
                <w:i w:val="0"/>
                <w:iCs w:val="0"/>
                <w:color w:val="000000"/>
                <w:sz w:val="20"/>
                <w:szCs w:val="20"/>
                <w:u w:val="none"/>
              </w:rPr>
            </w:pPr>
          </w:p>
        </w:tc>
      </w:tr>
    </w:tbl>
    <w:p w14:paraId="5E33212F">
      <w:pPr>
        <w:rPr>
          <w:rFonts w:hint="default" w:ascii="Times New Roman" w:hAnsi="Times New Roman" w:eastAsia="黑体" w:cs="Times New Roman"/>
          <w:bCs/>
          <w:color w:val="auto"/>
          <w:sz w:val="32"/>
          <w:szCs w:val="32"/>
          <w:highlight w:val="none"/>
          <w:lang w:eastAsia="zh-CN"/>
        </w:rPr>
      </w:pPr>
    </w:p>
    <w:p w14:paraId="6428D22B">
      <w:pPr>
        <w:rPr>
          <w:rFonts w:hint="default"/>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注：所有报价均用人民币表示，该单价为固定综合单价，包括但不限于</w:t>
      </w:r>
      <w:r>
        <w:rPr>
          <w:rFonts w:hint="eastAsia" w:eastAsia="仿宋_GB2312" w:cs="Times New Roman"/>
          <w:color w:val="auto"/>
          <w:sz w:val="21"/>
          <w:szCs w:val="21"/>
          <w:highlight w:val="none"/>
          <w:lang w:val="en-US" w:eastAsia="zh-CN"/>
        </w:rPr>
        <w:t>袋装费、</w:t>
      </w:r>
      <w:r>
        <w:rPr>
          <w:rFonts w:hint="eastAsia" w:ascii="Times New Roman" w:hAnsi="Times New Roman" w:eastAsia="仿宋_GB2312" w:cs="Times New Roman"/>
          <w:color w:val="auto"/>
          <w:sz w:val="21"/>
          <w:szCs w:val="21"/>
          <w:highlight w:val="none"/>
          <w:lang w:val="en-US" w:eastAsia="zh-CN"/>
        </w:rPr>
        <w:t>运输费、管理费、利润、税金等为完成本项目材料供应的所有费用</w:t>
      </w:r>
      <w:r>
        <w:rPr>
          <w:rFonts w:hint="default" w:ascii="Times New Roman" w:hAnsi="Times New Roman" w:eastAsia="仿宋_GB2312" w:cs="Times New Roman"/>
          <w:color w:val="auto"/>
          <w:sz w:val="21"/>
          <w:szCs w:val="21"/>
          <w:highlight w:val="none"/>
          <w:lang w:val="en-US" w:eastAsia="zh-CN"/>
        </w:rPr>
        <w:t>。</w:t>
      </w:r>
    </w:p>
    <w:p w14:paraId="009B1858">
      <w:pPr>
        <w:rPr>
          <w:rFonts w:hint="default" w:ascii="Times New Roman" w:hAnsi="Times New Roman" w:cs="Times New Roman"/>
          <w:lang w:val="en-US" w:eastAsia="zh-CN"/>
        </w:rPr>
      </w:pPr>
    </w:p>
    <w:p w14:paraId="208D4D5A">
      <w:pPr>
        <w:pStyle w:val="2"/>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3"/>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3"/>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492D9FA9">
      <w:pPr>
        <w:pStyle w:val="3"/>
        <w:ind w:left="0" w:leftChars="0" w:firstLine="0" w:firstLineChars="0"/>
        <w:rPr>
          <w:rFonts w:hint="default" w:ascii="Times New Roman" w:hAnsi="Times New Roman" w:eastAsia="仿宋" w:cs="Times New Roman"/>
          <w:bCs/>
          <w:sz w:val="32"/>
          <w:szCs w:val="32"/>
          <w:highlight w:val="none"/>
          <w:lang w:val="en-US" w:eastAsia="zh-CN"/>
        </w:rPr>
      </w:pPr>
    </w:p>
    <w:p w14:paraId="4CD6B18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方正小标宋简体" w:hAnsi="方正小标宋简体" w:eastAsia="方正小标宋简体" w:cs="方正小标宋简体"/>
          <w:sz w:val="32"/>
          <w:szCs w:val="32"/>
        </w:rPr>
        <w:t>合同编号：</w:t>
      </w:r>
    </w:p>
    <w:p w14:paraId="32045450">
      <w:pPr>
        <w:pStyle w:val="2"/>
        <w:rPr>
          <w:rFonts w:hint="eastAsia" w:ascii="仿宋" w:hAnsi="仿宋" w:eastAsia="仿宋" w:cs="仿宋"/>
          <w:color w:val="auto"/>
          <w:sz w:val="32"/>
          <w:szCs w:val="32"/>
          <w:highlight w:val="none"/>
        </w:rPr>
      </w:pPr>
    </w:p>
    <w:p w14:paraId="566CF9F6">
      <w:pPr>
        <w:jc w:val="center"/>
        <w:rPr>
          <w:rFonts w:hint="eastAsia" w:ascii="宋体" w:hAnsi="宋体" w:eastAsia="宋体" w:cs="宋体"/>
          <w:color w:val="auto"/>
          <w:kern w:val="2"/>
          <w:sz w:val="44"/>
          <w:szCs w:val="44"/>
          <w:highlight w:val="none"/>
          <w:u w:val="single"/>
          <w:lang w:val="en-US" w:eastAsia="zh-CN" w:bidi="ar-SA"/>
        </w:rPr>
      </w:pPr>
    </w:p>
    <w:p w14:paraId="535918A1">
      <w:pPr>
        <w:jc w:val="center"/>
        <w:rPr>
          <w:rFonts w:hint="eastAsia" w:ascii="宋体" w:hAnsi="宋体" w:eastAsia="宋体" w:cs="宋体"/>
          <w:color w:val="auto"/>
          <w:kern w:val="2"/>
          <w:sz w:val="44"/>
          <w:szCs w:val="44"/>
          <w:highlight w:val="none"/>
          <w:u w:val="single"/>
          <w:lang w:val="en-US" w:eastAsia="zh-CN" w:bidi="ar-SA"/>
        </w:rPr>
      </w:pPr>
    </w:p>
    <w:p w14:paraId="46A50650">
      <w:pPr>
        <w:jc w:val="center"/>
        <w:rPr>
          <w:rFonts w:hint="eastAsia" w:ascii="宋体" w:hAnsi="宋体" w:eastAsia="宋体" w:cs="宋体"/>
          <w:color w:val="auto"/>
          <w:sz w:val="44"/>
          <w:szCs w:val="44"/>
          <w:highlight w:val="none"/>
          <w:u w:val="single"/>
        </w:rPr>
      </w:pPr>
      <w:r>
        <w:rPr>
          <w:rFonts w:hint="eastAsia" w:ascii="宋体" w:hAnsi="宋体" w:eastAsia="宋体" w:cs="宋体"/>
          <w:color w:val="auto"/>
          <w:sz w:val="44"/>
          <w:szCs w:val="44"/>
          <w:highlight w:val="none"/>
          <w:u w:val="single"/>
        </w:rPr>
        <w:t>德阳高新区汽车产业园配套提升基础设施建设项目-游学路西段袋装干混砂浆</w:t>
      </w:r>
    </w:p>
    <w:p w14:paraId="28780F51">
      <w:pPr>
        <w:jc w:val="center"/>
        <w:rPr>
          <w:rFonts w:hint="eastAsia" w:ascii="仿宋" w:hAnsi="仿宋" w:eastAsia="仿宋" w:cs="仿宋"/>
          <w:color w:val="auto"/>
          <w:sz w:val="32"/>
          <w:szCs w:val="32"/>
          <w:highlight w:val="none"/>
        </w:rPr>
      </w:pPr>
      <w:r>
        <w:rPr>
          <w:rFonts w:hint="eastAsia" w:ascii="宋体" w:hAnsi="宋体" w:eastAsia="宋体" w:cs="宋体"/>
          <w:color w:val="auto"/>
          <w:kern w:val="2"/>
          <w:sz w:val="44"/>
          <w:szCs w:val="44"/>
          <w:highlight w:val="none"/>
          <w:u w:val="single"/>
          <w:lang w:val="en-US" w:eastAsia="zh-CN" w:bidi="ar-SA"/>
        </w:rPr>
        <w:t>采购合同</w:t>
      </w:r>
    </w:p>
    <w:p w14:paraId="7197FE87">
      <w:pPr>
        <w:pStyle w:val="2"/>
        <w:rPr>
          <w:rFonts w:hint="eastAsia" w:ascii="仿宋" w:hAnsi="仿宋" w:eastAsia="仿宋" w:cs="仿宋"/>
          <w:color w:val="auto"/>
          <w:sz w:val="32"/>
          <w:szCs w:val="32"/>
          <w:highlight w:val="none"/>
        </w:rPr>
      </w:pPr>
    </w:p>
    <w:p w14:paraId="2A6D8E0E">
      <w:pPr>
        <w:rPr>
          <w:rFonts w:hint="eastAsia" w:ascii="仿宋" w:hAnsi="仿宋" w:eastAsia="仿宋" w:cs="仿宋"/>
          <w:color w:val="auto"/>
          <w:sz w:val="32"/>
          <w:szCs w:val="32"/>
          <w:highlight w:val="none"/>
        </w:rPr>
      </w:pPr>
    </w:p>
    <w:p w14:paraId="67F5C005">
      <w:pPr>
        <w:pStyle w:val="2"/>
        <w:rPr>
          <w:rFonts w:hint="eastAsia" w:ascii="仿宋" w:hAnsi="仿宋" w:eastAsia="仿宋" w:cs="仿宋"/>
          <w:color w:val="auto"/>
          <w:sz w:val="32"/>
          <w:szCs w:val="32"/>
          <w:highlight w:val="none"/>
        </w:rPr>
      </w:pPr>
    </w:p>
    <w:p w14:paraId="0857CC34">
      <w:pPr>
        <w:rPr>
          <w:rFonts w:hint="eastAsia"/>
        </w:rPr>
      </w:pPr>
    </w:p>
    <w:p w14:paraId="42858E9B">
      <w:pPr>
        <w:pStyle w:val="2"/>
        <w:rPr>
          <w:rFonts w:hint="eastAsia"/>
        </w:rPr>
      </w:pPr>
    </w:p>
    <w:p w14:paraId="1710F87B">
      <w:pPr>
        <w:rPr>
          <w:rFonts w:hint="eastAsia"/>
        </w:rPr>
      </w:pPr>
    </w:p>
    <w:p w14:paraId="0BD92F4A">
      <w:pPr>
        <w:pStyle w:val="2"/>
        <w:rPr>
          <w:rFonts w:hint="eastAsia"/>
        </w:rPr>
      </w:pPr>
    </w:p>
    <w:p w14:paraId="4836E7B3">
      <w:pPr>
        <w:rPr>
          <w:rFonts w:hint="eastAsia"/>
        </w:rPr>
      </w:pPr>
    </w:p>
    <w:p w14:paraId="38380C5E">
      <w:pPr>
        <w:pStyle w:val="2"/>
        <w:rPr>
          <w:rFonts w:hint="eastAsia"/>
        </w:rPr>
      </w:pPr>
    </w:p>
    <w:p w14:paraId="2170D3F4">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w:t>
      </w:r>
    </w:p>
    <w:p w14:paraId="4C350A09">
      <w:pPr>
        <w:jc w:val="center"/>
        <w:rPr>
          <w:rFonts w:hint="default" w:ascii="方正小标宋简体" w:hAnsi="方正小标宋简体" w:eastAsia="方正小标宋简体" w:cs="方正小标宋简体"/>
          <w:sz w:val="32"/>
          <w:szCs w:val="32"/>
          <w:lang w:val="en-US" w:eastAsia="zh-CN"/>
        </w:rPr>
      </w:pPr>
      <w:r>
        <w:rPr>
          <w:rFonts w:hint="eastAsia" w:ascii="宋体" w:hAnsi="宋体" w:eastAsia="宋体" w:cs="宋体"/>
          <w:color w:val="auto"/>
          <w:kern w:val="2"/>
          <w:sz w:val="28"/>
          <w:szCs w:val="28"/>
          <w:highlight w:val="none"/>
          <w:lang w:val="en-US" w:eastAsia="zh-CN" w:bidi="ar-SA"/>
        </w:rPr>
        <w:t>签订日期</w:t>
      </w:r>
      <w:r>
        <w:rPr>
          <w:rFonts w:hint="eastAsia" w:ascii="宋体" w:hAnsi="宋体" w:cs="宋体"/>
          <w:color w:val="auto"/>
          <w:kern w:val="2"/>
          <w:sz w:val="28"/>
          <w:szCs w:val="28"/>
          <w:highlight w:val="none"/>
          <w:lang w:val="en-US" w:eastAsia="zh-CN" w:bidi="ar-SA"/>
        </w:rPr>
        <w:t>：    年    月    日</w:t>
      </w:r>
    </w:p>
    <w:p w14:paraId="793C9DC2">
      <w:pPr>
        <w:jc w:val="center"/>
        <w:rPr>
          <w:rFonts w:hint="eastAsia"/>
          <w:lang w:val="en-US" w:eastAsia="zh-CN"/>
        </w:rPr>
        <w:sectPr>
          <w:pgSz w:w="11906" w:h="16838"/>
          <w:pgMar w:top="1440" w:right="1800" w:bottom="1440" w:left="1800" w:header="851" w:footer="992" w:gutter="0"/>
          <w:cols w:space="425" w:num="1"/>
          <w:docGrid w:type="lines" w:linePitch="312" w:charSpace="0"/>
        </w:sectPr>
      </w:pPr>
    </w:p>
    <w:p w14:paraId="6E197B84">
      <w:pPr>
        <w:spacing w:line="360" w:lineRule="auto"/>
        <w:ind w:left="359" w:leftChars="171" w:right="359" w:rightChars="171" w:firstLine="480" w:firstLineChars="200"/>
        <w:jc w:val="right"/>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6DF505E7">
      <w:pPr>
        <w:tabs>
          <w:tab w:val="left" w:pos="567"/>
        </w:tabs>
        <w:spacing w:line="3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rPr>
        <w:t>承包人：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3D73E8CF">
      <w:pPr>
        <w:tabs>
          <w:tab w:val="left" w:pos="567"/>
        </w:tabs>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1967848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w:t>
      </w:r>
      <w:r>
        <w:rPr>
          <w:rFonts w:hint="eastAsia" w:ascii="仿宋" w:hAnsi="仿宋" w:eastAsia="仿宋" w:cs="仿宋"/>
          <w:bCs/>
          <w:color w:val="000000"/>
          <w:sz w:val="24"/>
          <w:highlight w:val="none"/>
          <w:u w:val="single"/>
        </w:rPr>
        <w:t>中华人民共和国民法典》及其它有关法律、行政法规，甲、乙双方遵循平等、自愿、公平、诚信和互利的原则，经充分协商</w:t>
      </w:r>
      <w:r>
        <w:rPr>
          <w:rFonts w:ascii="仿宋" w:hAnsi="仿宋" w:eastAsia="仿宋" w:cs="仿宋"/>
          <w:bCs/>
          <w:color w:val="000000"/>
          <w:sz w:val="24"/>
          <w:highlight w:val="none"/>
          <w:u w:val="single"/>
        </w:rPr>
        <w:t>,就甲</w:t>
      </w:r>
      <w:r>
        <w:rPr>
          <w:rFonts w:ascii="仿宋" w:hAnsi="仿宋" w:eastAsia="仿宋" w:cs="仿宋"/>
          <w:bCs/>
          <w:color w:val="000000"/>
          <w:sz w:val="24"/>
          <w:highlight w:val="none"/>
        </w:rPr>
        <w:t>方</w:t>
      </w:r>
      <w:r>
        <w:rPr>
          <w:rFonts w:hint="eastAsia" w:ascii="仿宋" w:hAnsi="仿宋" w:eastAsia="仿宋" w:cs="仿宋"/>
          <w:bCs/>
          <w:color w:val="000000"/>
          <w:sz w:val="24"/>
          <w:highlight w:val="none"/>
          <w:u w:val="single"/>
          <w:lang w:val="en-US" w:eastAsia="zh-CN"/>
        </w:rPr>
        <w:t xml:space="preserve">  XX  项目</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u w:val="none"/>
          <w:lang w:val="en-US" w:eastAsia="zh-CN"/>
        </w:rPr>
        <w:t>袋装干混砂浆</w:t>
      </w:r>
      <w:r>
        <w:rPr>
          <w:rFonts w:ascii="仿宋" w:hAnsi="仿宋" w:eastAsia="仿宋" w:cs="仿宋"/>
          <w:bCs/>
          <w:color w:val="000000"/>
          <w:sz w:val="24"/>
          <w:highlight w:val="none"/>
          <w:u w:val="none"/>
        </w:rPr>
        <w:t xml:space="preserve"> </w:t>
      </w:r>
      <w:r>
        <w:rPr>
          <w:rFonts w:hint="eastAsia" w:ascii="仿宋" w:hAnsi="仿宋" w:eastAsia="仿宋" w:cs="仿宋"/>
          <w:bCs/>
          <w:color w:val="000000"/>
          <w:sz w:val="24"/>
          <w:highlight w:val="none"/>
        </w:rPr>
        <w:t>的采购事宜，签订本合同，以资共同信守执行。</w:t>
      </w:r>
    </w:p>
    <w:p w14:paraId="77862C3D">
      <w:pPr>
        <w:numPr>
          <w:ilvl w:val="0"/>
          <w:numId w:val="1"/>
        </w:num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6DDD90B3">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货物的名称、数量、规格等详见下表。</w:t>
      </w:r>
    </w:p>
    <w:tbl>
      <w:tblPr>
        <w:tblStyle w:val="5"/>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94"/>
        <w:gridCol w:w="1136"/>
        <w:gridCol w:w="1080"/>
        <w:gridCol w:w="1080"/>
        <w:gridCol w:w="1080"/>
        <w:gridCol w:w="1080"/>
        <w:gridCol w:w="1080"/>
        <w:gridCol w:w="927"/>
      </w:tblGrid>
      <w:tr w14:paraId="7982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567" w:type="dxa"/>
            <w:gridSpan w:val="9"/>
            <w:tcBorders>
              <w:top w:val="nil"/>
              <w:left w:val="nil"/>
              <w:bottom w:val="nil"/>
              <w:right w:val="nil"/>
            </w:tcBorders>
            <w:shd w:val="clear" w:color="auto" w:fill="auto"/>
            <w:vAlign w:val="center"/>
          </w:tcPr>
          <w:p w14:paraId="67EA395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袋装干混砂浆报价清单</w:t>
            </w:r>
          </w:p>
        </w:tc>
      </w:tr>
      <w:tr w14:paraId="6944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7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0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C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r>
              <w:rPr>
                <w:rFonts w:hint="eastAsia" w:ascii="宋体" w:hAnsi="宋体" w:cs="宋体"/>
                <w:i w:val="0"/>
                <w:iCs w:val="0"/>
                <w:color w:val="000000"/>
                <w:kern w:val="0"/>
                <w:sz w:val="20"/>
                <w:szCs w:val="20"/>
                <w:u w:val="none"/>
                <w:lang w:val="en-US" w:eastAsia="zh-CN" w:bidi="ar"/>
              </w:rPr>
              <w:t>（暂估）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D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9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2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2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FD3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F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3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5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F76">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D27A">
            <w:pPr>
              <w:jc w:val="center"/>
              <w:rPr>
                <w:rFonts w:hint="eastAsia" w:ascii="宋体" w:hAnsi="宋体" w:eastAsia="宋体" w:cs="宋体"/>
                <w:i w:val="0"/>
                <w:iCs w:val="0"/>
                <w:color w:val="000000"/>
                <w:sz w:val="20"/>
                <w:szCs w:val="20"/>
                <w:u w:val="none"/>
              </w:rPr>
            </w:pP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F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其中袋装费</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元/吨</w:t>
            </w:r>
          </w:p>
        </w:tc>
      </w:tr>
      <w:tr w14:paraId="0317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E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3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2CA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1685">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E304D">
            <w:pPr>
              <w:jc w:val="center"/>
              <w:rPr>
                <w:rFonts w:hint="eastAsia" w:ascii="宋体" w:hAnsi="宋体" w:eastAsia="宋体" w:cs="宋体"/>
                <w:i w:val="0"/>
                <w:iCs w:val="0"/>
                <w:color w:val="000000"/>
                <w:sz w:val="20"/>
                <w:szCs w:val="20"/>
                <w:u w:val="none"/>
              </w:rPr>
            </w:pPr>
          </w:p>
        </w:tc>
      </w:tr>
      <w:tr w14:paraId="121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0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袋装干混砌筑砂浆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4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D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A4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7454">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A491">
            <w:pPr>
              <w:jc w:val="center"/>
              <w:rPr>
                <w:rFonts w:hint="eastAsia" w:ascii="宋体" w:hAnsi="宋体" w:eastAsia="宋体" w:cs="宋体"/>
                <w:i w:val="0"/>
                <w:iCs w:val="0"/>
                <w:color w:val="000000"/>
                <w:sz w:val="20"/>
                <w:szCs w:val="20"/>
                <w:u w:val="none"/>
              </w:rPr>
            </w:pPr>
          </w:p>
        </w:tc>
      </w:tr>
      <w:tr w14:paraId="5C96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E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袋装干混抹灰砂浆</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2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A76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ECB4">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130C">
            <w:pPr>
              <w:jc w:val="center"/>
              <w:rPr>
                <w:rFonts w:hint="eastAsia" w:ascii="宋体" w:hAnsi="宋体" w:eastAsia="宋体" w:cs="宋体"/>
                <w:i w:val="0"/>
                <w:iCs w:val="0"/>
                <w:color w:val="000000"/>
                <w:sz w:val="20"/>
                <w:szCs w:val="20"/>
                <w:u w:val="none"/>
              </w:rPr>
            </w:pPr>
          </w:p>
        </w:tc>
      </w:tr>
      <w:tr w14:paraId="1E2A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0F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2C50">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FDA62">
            <w:pPr>
              <w:jc w:val="center"/>
              <w:rPr>
                <w:rFonts w:hint="eastAsia" w:ascii="宋体" w:hAnsi="宋体" w:eastAsia="宋体" w:cs="宋体"/>
                <w:i w:val="0"/>
                <w:iCs w:val="0"/>
                <w:color w:val="000000"/>
                <w:sz w:val="20"/>
                <w:szCs w:val="20"/>
                <w:u w:val="none"/>
              </w:rPr>
            </w:pPr>
          </w:p>
        </w:tc>
      </w:tr>
    </w:tbl>
    <w:p w14:paraId="733A31A1">
      <w:pPr>
        <w:numPr>
          <w:ilvl w:val="0"/>
          <w:numId w:val="0"/>
        </w:numPr>
        <w:spacing w:line="240" w:lineRule="auto"/>
        <w:ind w:firstLine="0" w:firstLineChars="0"/>
        <w:jc w:val="left"/>
        <w:rPr>
          <w:rFonts w:hint="eastAsia"/>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Cs w:val="21"/>
          <w:highlight w:val="none"/>
        </w:rPr>
        <w:t>所有报价均用人民币表示，该单价为固定综合单价，包括但不限于袋装费、运输费、管理费、利润、税金等为完成本项目材料供应的所有费用。</w:t>
      </w:r>
    </w:p>
    <w:p w14:paraId="341AFE9E">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rPr>
      </w:pPr>
    </w:p>
    <w:p w14:paraId="497B6736">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2、合同</w:t>
      </w:r>
      <w:r>
        <w:rPr>
          <w:rFonts w:hint="eastAsia" w:ascii="仿宋" w:hAnsi="仿宋" w:eastAsia="仿宋" w:cs="仿宋"/>
          <w:color w:val="000000"/>
          <w:sz w:val="24"/>
          <w:szCs w:val="20"/>
          <w:highlight w:val="none"/>
        </w:rPr>
        <w:t>暂定</w:t>
      </w:r>
      <w:r>
        <w:rPr>
          <w:rFonts w:hint="eastAsia" w:ascii="仿宋" w:hAnsi="仿宋" w:eastAsia="仿宋" w:cs="仿宋"/>
          <w:color w:val="000000"/>
          <w:sz w:val="24"/>
          <w:szCs w:val="20"/>
          <w:highlight w:val="none"/>
          <w:lang w:val="en-US" w:eastAsia="zh-CN"/>
        </w:rPr>
        <w:t>总金额（</w:t>
      </w:r>
      <w:r>
        <w:rPr>
          <w:rFonts w:hint="eastAsia" w:ascii="仿宋" w:hAnsi="仿宋" w:eastAsia="仿宋" w:cs="仿宋"/>
          <w:bCs/>
          <w:color w:val="000000"/>
          <w:sz w:val="24"/>
          <w:highlight w:val="none"/>
          <w:lang w:val="en-US" w:eastAsia="zh-CN"/>
        </w:rPr>
        <w:t>含税）</w:t>
      </w:r>
      <w:r>
        <w:rPr>
          <w:rFonts w:hint="eastAsia" w:ascii="仿宋" w:hAnsi="仿宋" w:eastAsia="仿宋" w:cs="仿宋"/>
          <w:color w:val="000000"/>
          <w:sz w:val="24"/>
          <w:szCs w:val="20"/>
          <w:highlight w:val="none"/>
          <w:lang w:val="en-US" w:eastAsia="zh-CN"/>
        </w:rPr>
        <w:t>金额</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lang w:eastAsia="zh-CN"/>
        </w:rPr>
        <w:t>；</w:t>
      </w:r>
      <w:r>
        <w:rPr>
          <w:rFonts w:hint="eastAsia" w:ascii="仿宋" w:hAnsi="仿宋" w:eastAsia="仿宋" w:cs="仿宋"/>
          <w:color w:val="000000"/>
          <w:sz w:val="24"/>
          <w:szCs w:val="20"/>
          <w:highlight w:val="none"/>
          <w:lang w:val="en-US" w:eastAsia="zh-CN"/>
        </w:rPr>
        <w:t>税率</w:t>
      </w:r>
      <w:r>
        <w:rPr>
          <w:rFonts w:hint="eastAsia" w:ascii="仿宋" w:hAnsi="仿宋" w:eastAsia="仿宋" w:cs="仿宋"/>
          <w:color w:val="000000"/>
          <w:sz w:val="24"/>
          <w:szCs w:val="20"/>
          <w:highlight w:val="none"/>
          <w:u w:val="none"/>
          <w:lang w:val="en-US" w:eastAsia="zh-CN"/>
        </w:rPr>
        <w:t>：</w:t>
      </w:r>
      <w:r>
        <w:rPr>
          <w:rFonts w:hint="eastAsia" w:ascii="仿宋" w:hAnsi="仿宋" w:eastAsia="仿宋" w:cs="仿宋"/>
          <w:color w:val="000000"/>
          <w:sz w:val="24"/>
          <w:szCs w:val="20"/>
          <w:highlight w:val="none"/>
          <w:u w:val="single"/>
          <w:lang w:val="en-US" w:eastAsia="zh-CN"/>
        </w:rPr>
        <w:t xml:space="preserve">   13%</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u w:val="none"/>
        </w:rPr>
        <w:t xml:space="preserve"> </w:t>
      </w:r>
      <w:r>
        <w:rPr>
          <w:rFonts w:hint="eastAsia" w:ascii="仿宋" w:hAnsi="仿宋" w:eastAsia="仿宋" w:cs="仿宋"/>
          <w:color w:val="000000"/>
          <w:sz w:val="24"/>
          <w:szCs w:val="20"/>
          <w:highlight w:val="none"/>
        </w:rPr>
        <w:t>，税</w:t>
      </w:r>
      <w:r>
        <w:rPr>
          <w:rFonts w:hint="eastAsia" w:ascii="仿宋" w:hAnsi="仿宋" w:eastAsia="仿宋" w:cs="仿宋"/>
          <w:color w:val="000000"/>
          <w:sz w:val="24"/>
          <w:szCs w:val="20"/>
          <w:highlight w:val="none"/>
          <w:lang w:val="en-US" w:eastAsia="zh-CN"/>
        </w:rPr>
        <w:t>费</w:t>
      </w:r>
      <w:r>
        <w:rPr>
          <w:rFonts w:hint="eastAsia" w:ascii="仿宋" w:hAnsi="仿宋" w:eastAsia="仿宋" w:cs="仿宋"/>
          <w:color w:val="000000"/>
          <w:sz w:val="24"/>
          <w:szCs w:val="20"/>
          <w:highlight w:val="none"/>
        </w:rPr>
        <w:t>为：</w:t>
      </w:r>
      <w:r>
        <w:rPr>
          <w:rFonts w:hint="eastAsia" w:ascii="仿宋" w:hAnsi="仿宋" w:eastAsia="仿宋" w:cs="仿宋"/>
          <w:color w:val="000000"/>
          <w:sz w:val="24"/>
          <w:szCs w:val="20"/>
          <w:highlight w:val="none"/>
          <w:u w:val="single"/>
        </w:rPr>
        <w:t xml:space="preserve">        </w:t>
      </w:r>
      <w:r>
        <w:rPr>
          <w:rFonts w:hint="eastAsia" w:ascii="仿宋" w:hAnsi="仿宋" w:eastAsia="仿宋" w:cs="仿宋"/>
          <w:color w:val="000000"/>
          <w:sz w:val="24"/>
          <w:szCs w:val="20"/>
          <w:highlight w:val="none"/>
        </w:rPr>
        <w:t xml:space="preserve"> </w:t>
      </w:r>
      <w:r>
        <w:rPr>
          <w:rFonts w:hint="eastAsia" w:ascii="仿宋" w:hAnsi="仿宋" w:eastAsia="仿宋" w:cs="仿宋"/>
          <w:bCs/>
          <w:color w:val="000000"/>
          <w:sz w:val="24"/>
          <w:highlight w:val="none"/>
        </w:rPr>
        <w:t>。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B46F1E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包括但不限于袋装费、运输费、管理费、利润、税金等为完成本项目材料供应的所有费用。本合同总价为暂估总价，甲方有权调整合同中材料计划或材料数量，材料数量和规格的调整，不影响本合同单价及其他条款的执行。</w:t>
      </w:r>
    </w:p>
    <w:p w14:paraId="30D23F75">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43B761AB">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30D07F24">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4899FB12">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191A9003">
      <w:pPr>
        <w:widowControl/>
        <w:spacing w:line="3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39801B8E">
      <w:pPr>
        <w:tabs>
          <w:tab w:val="left" w:pos="567"/>
        </w:tabs>
        <w:adjustRightInd w:val="0"/>
        <w:snapToGrid w:val="0"/>
        <w:spacing w:line="3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20BFAEF8">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5027E3B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6855274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692514B2">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67A92882">
      <w:pPr>
        <w:tabs>
          <w:tab w:val="left" w:pos="567"/>
        </w:tabs>
        <w:adjustRightInd w:val="0"/>
        <w:snapToGrid w:val="0"/>
        <w:spacing w:line="40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w:t>
      </w:r>
    </w:p>
    <w:p w14:paraId="12C8D51A">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2、卖方应随同每批物资发运附一份发货物资清单、出厂质量检验合格证书等必要文件。</w:t>
      </w:r>
    </w:p>
    <w:p w14:paraId="3C3F3F98">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卖方提供的发货物资清单对到货数量、外观、规格型号、合格证等进行核对。如发现包装破损，应作出记录并立即检查，确认是否对物资本身造成损伤。如确认对物资本身造成了损伤，卖方应及时更换被损伤的物资，或者免费进行必要的补救以达到物资出厂的标准。</w:t>
      </w:r>
    </w:p>
    <w:p w14:paraId="603B87DC">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4、物资经验收合格后，买方向卖方出具验收单据。此验收合格的单据不作为判定物资质量的依据。</w:t>
      </w:r>
    </w:p>
    <w:p w14:paraId="234B1AD3">
      <w:pPr>
        <w:spacing w:line="360" w:lineRule="auto"/>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5、买方出具验收单据后，物资所有权转移给买方，但并不解除卖方对其物资应负的质量责任。</w:t>
      </w:r>
    </w:p>
    <w:p w14:paraId="72F12F83">
      <w:pPr>
        <w:spacing w:line="40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6、买方有权对验收合格后的物资交有资质的检验部门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检验结果直接作为判定卖方交付货物质量是否符合约定即法律规定的依据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如果任何被检测或测试的物资不能满足技术规格的要求，卖方应及时更换，或者根据买方要求对缺陷免费进行修复以满足技术规格的要求，并承担该部分检验费用。</w:t>
      </w:r>
    </w:p>
    <w:p w14:paraId="7D92EC8D">
      <w:pPr>
        <w:adjustRightInd w:val="0"/>
        <w:snapToGrid w:val="0"/>
        <w:spacing w:line="40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7、买方在物资到达最终目的地后对物资进行检验、测试及必要时拒绝接受物资的权利</w:t>
      </w:r>
      <w:r>
        <w:rPr>
          <w:rFonts w:hint="eastAsia" w:ascii="仿宋" w:hAnsi="仿宋" w:eastAsia="仿宋" w:cs="仿宋"/>
          <w:color w:val="000000"/>
          <w:sz w:val="24"/>
          <w:highlight w:val="none"/>
          <w:lang w:val="en-US" w:eastAsia="zh-CN"/>
        </w:rPr>
        <w:t>不因</w:t>
      </w:r>
      <w:r>
        <w:rPr>
          <w:rFonts w:hint="eastAsia" w:ascii="仿宋" w:hAnsi="仿宋" w:eastAsia="仿宋" w:cs="仿宋"/>
          <w:color w:val="000000"/>
          <w:sz w:val="24"/>
          <w:highlight w:val="none"/>
        </w:rPr>
        <w:t>物资在从卖方制造厂启运前通过了买方或其代表的检验、测试和认可而受到限制或放弃。</w:t>
      </w:r>
    </w:p>
    <w:p w14:paraId="0E35B509">
      <w:pPr>
        <w:adjustRightInd w:val="0"/>
        <w:snapToGrid w:val="0"/>
        <w:spacing w:line="40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4F8B6E06">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w:t>
      </w:r>
      <w:r>
        <w:rPr>
          <w:rFonts w:hint="eastAsia" w:ascii="仿宋" w:hAnsi="仿宋" w:eastAsia="仿宋" w:cs="仿宋"/>
          <w:bCs/>
          <w:color w:val="000000"/>
          <w:sz w:val="24"/>
          <w:highlight w:val="none"/>
          <w:lang w:val="en-US" w:eastAsia="zh-CN"/>
        </w:rPr>
        <w:t>乙方应</w:t>
      </w:r>
      <w:r>
        <w:rPr>
          <w:rFonts w:hint="eastAsia" w:ascii="仿宋" w:hAnsi="仿宋" w:eastAsia="仿宋" w:cs="仿宋"/>
          <w:bCs/>
          <w:color w:val="000000"/>
          <w:sz w:val="24"/>
          <w:highlight w:val="none"/>
        </w:rPr>
        <w:t>按甲方需用计划的要求，将本合同约定的材料保质、保量（乙方应具有应对施工高峰期和汛期的应急措施）、及时、齐备配套地供应到甲方指定地点。</w:t>
      </w:r>
    </w:p>
    <w:p w14:paraId="555C541C">
      <w:pPr>
        <w:tabs>
          <w:tab w:val="left" w:pos="567"/>
        </w:tabs>
        <w:adjustRightInd w:val="0"/>
        <w:snapToGrid w:val="0"/>
        <w:spacing w:line="3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733D8D44">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B4CD195">
      <w:pPr>
        <w:tabs>
          <w:tab w:val="left" w:pos="567"/>
          <w:tab w:val="left" w:pos="720"/>
          <w:tab w:val="left" w:pos="900"/>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3ED82B2">
      <w:pPr>
        <w:tabs>
          <w:tab w:val="left" w:pos="567"/>
        </w:tabs>
        <w:adjustRightInd w:val="0"/>
        <w:snapToGrid w:val="0"/>
        <w:spacing w:line="3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00A2CA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331FD0A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4B0EA91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7626ECF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5D806C8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0289401C">
      <w:pPr>
        <w:tabs>
          <w:tab w:val="left" w:pos="567"/>
        </w:tabs>
        <w:adjustRightInd w:val="0"/>
        <w:snapToGrid w:val="0"/>
        <w:spacing w:line="3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五、货款的结算及支付方式：</w:t>
      </w:r>
    </w:p>
    <w:p w14:paraId="17E9CC82">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5.1计量方式:</w:t>
      </w:r>
    </w:p>
    <w:p w14:paraId="35EFB935">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结算数量：以采购人现场代表签字确认的送货小票作为双方结算依据，按实际供货量结算。</w:t>
      </w:r>
    </w:p>
    <w:p w14:paraId="1563BA0F">
      <w:pPr>
        <w:spacing w:line="360" w:lineRule="auto"/>
        <w:ind w:firstLine="480" w:firstLineChars="200"/>
        <w:rPr>
          <w:rFonts w:hint="eastAsia" w:ascii="仿宋" w:hAnsi="仿宋" w:eastAsia="仿宋" w:cs="仿宋"/>
          <w:bCs/>
          <w:color w:val="000000"/>
          <w:sz w:val="24"/>
          <w:highlight w:val="none"/>
        </w:rPr>
      </w:pPr>
      <w:r>
        <w:rPr>
          <w:rFonts w:ascii="仿宋" w:hAnsi="仿宋" w:eastAsia="仿宋" w:cs="仿宋"/>
          <w:color w:val="000000"/>
          <w:sz w:val="24"/>
          <w:highlight w:val="none"/>
        </w:rPr>
        <w:t xml:space="preserve">5.2合同价款的支付： </w:t>
      </w:r>
    </w:p>
    <w:p w14:paraId="50627F17">
      <w:pPr>
        <w:tabs>
          <w:tab w:val="left" w:pos="973"/>
        </w:tabs>
        <w:adjustRightInd w:val="0"/>
        <w:snapToGrid w:val="0"/>
        <w:spacing w:line="360" w:lineRule="auto"/>
        <w:ind w:firstLine="480" w:firstLineChars="200"/>
        <w:rPr>
          <w:rFonts w:ascii="仿宋" w:hAnsi="仿宋" w:eastAsia="仿宋" w:cs="仿宋"/>
          <w:color w:val="000000"/>
          <w:sz w:val="24"/>
          <w:highlight w:val="none"/>
        </w:rPr>
      </w:pPr>
      <w:r>
        <w:rPr>
          <w:rFonts w:ascii="仿宋" w:hAnsi="仿宋" w:eastAsia="仿宋" w:cs="仿宋"/>
          <w:color w:val="000000"/>
          <w:sz w:val="24"/>
          <w:highlight w:val="none"/>
        </w:rPr>
        <w:t>1、付款方式</w:t>
      </w:r>
    </w:p>
    <w:p w14:paraId="46628900">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1</w:t>
      </w:r>
      <w:r>
        <w:rPr>
          <w:rFonts w:hint="default" w:ascii="仿宋" w:hAnsi="仿宋" w:eastAsia="仿宋" w:cs="仿宋"/>
          <w:bCs/>
          <w:color w:val="000000"/>
          <w:sz w:val="24"/>
          <w:highlight w:val="none"/>
          <w:lang w:val="en-US" w:eastAsia="zh-CN"/>
        </w:rPr>
        <w:t>）每月25日前，双方对上月供应货物的数量和金额进行对账，对账手续完成后20个工作日内，由</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按照上月供货金额的 80%向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支付货款，其余货款待办理结算后三个月内结清。</w:t>
      </w:r>
    </w:p>
    <w:p w14:paraId="50B007D8">
      <w:pPr>
        <w:adjustRightInd w:val="0"/>
        <w:snapToGrid w:val="0"/>
        <w:spacing w:line="360" w:lineRule="exact"/>
        <w:ind w:firstLine="480" w:firstLineChars="200"/>
        <w:rPr>
          <w:rFonts w:hint="default"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2</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可采取银行转账或承兑汇票方式向</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支付工程款，且</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不承担承兑汇票的贴现费用，由</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自理。</w:t>
      </w:r>
    </w:p>
    <w:p w14:paraId="370116B4">
      <w:pPr>
        <w:adjustRightInd w:val="0"/>
        <w:snapToGrid w:val="0"/>
        <w:spacing w:line="360" w:lineRule="exact"/>
        <w:ind w:firstLine="480" w:firstLineChars="200"/>
        <w:rPr>
          <w:rFonts w:hint="eastAsia" w:ascii="仿宋" w:hAnsi="仿宋" w:eastAsia="仿宋" w:cs="仿宋"/>
          <w:bCs/>
          <w:color w:val="000000"/>
          <w:sz w:val="24"/>
          <w:highlight w:val="none"/>
          <w:lang w:val="en-US" w:eastAsia="zh-CN"/>
        </w:rPr>
      </w:pP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3</w:t>
      </w:r>
      <w:r>
        <w:rPr>
          <w:rFonts w:hint="default"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支付款项前，</w:t>
      </w:r>
      <w:r>
        <w:rPr>
          <w:rFonts w:hint="eastAsia" w:ascii="仿宋" w:hAnsi="仿宋" w:eastAsia="仿宋" w:cs="仿宋"/>
          <w:bCs/>
          <w:color w:val="000000"/>
          <w:sz w:val="24"/>
          <w:highlight w:val="none"/>
          <w:lang w:val="en-US" w:eastAsia="zh-CN"/>
        </w:rPr>
        <w:t>乙方</w:t>
      </w:r>
      <w:r>
        <w:rPr>
          <w:rFonts w:hint="default" w:ascii="仿宋" w:hAnsi="仿宋" w:eastAsia="仿宋" w:cs="仿宋"/>
          <w:bCs/>
          <w:color w:val="000000"/>
          <w:sz w:val="24"/>
          <w:highlight w:val="none"/>
          <w:lang w:val="en-US" w:eastAsia="zh-CN"/>
        </w:rPr>
        <w:t>须先行向招标人提供等额、合法且有效的增值税专用发票及请款申请，否则，</w:t>
      </w:r>
      <w:r>
        <w:rPr>
          <w:rFonts w:hint="eastAsia" w:ascii="仿宋" w:hAnsi="仿宋" w:eastAsia="仿宋" w:cs="仿宋"/>
          <w:bCs/>
          <w:color w:val="000000"/>
          <w:sz w:val="24"/>
          <w:highlight w:val="none"/>
          <w:lang w:val="en-US" w:eastAsia="zh-CN"/>
        </w:rPr>
        <w:t>甲方</w:t>
      </w:r>
      <w:r>
        <w:rPr>
          <w:rFonts w:hint="default" w:ascii="仿宋" w:hAnsi="仿宋" w:eastAsia="仿宋" w:cs="仿宋"/>
          <w:bCs/>
          <w:color w:val="000000"/>
          <w:sz w:val="24"/>
          <w:highlight w:val="none"/>
          <w:lang w:val="en-US" w:eastAsia="zh-CN"/>
        </w:rPr>
        <w:t>有权拒绝付款且不承担延迟履行的法律责任</w:t>
      </w:r>
      <w:r>
        <w:rPr>
          <w:rFonts w:hint="eastAsia" w:ascii="仿宋" w:hAnsi="仿宋" w:eastAsia="仿宋" w:cs="仿宋"/>
          <w:bCs/>
          <w:color w:val="000000"/>
          <w:sz w:val="24"/>
          <w:highlight w:val="none"/>
          <w:lang w:val="en-US" w:eastAsia="zh-CN"/>
        </w:rPr>
        <w:t>。</w:t>
      </w:r>
    </w:p>
    <w:p w14:paraId="413C2D9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3D558EF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5E7B85D6">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43DFC55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（1）  </w:t>
      </w:r>
      <w:r>
        <w:rPr>
          <w:rFonts w:hint="eastAsia" w:ascii="仿宋" w:hAnsi="仿宋" w:eastAsia="仿宋" w:cs="仿宋"/>
          <w:bCs/>
          <w:color w:val="000000"/>
          <w:sz w:val="24"/>
          <w:highlight w:val="none"/>
        </w:rPr>
        <w:t>种发票。</w:t>
      </w:r>
    </w:p>
    <w:p w14:paraId="37837401">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54DC429E">
      <w:pPr>
        <w:tabs>
          <w:tab w:val="left" w:pos="567"/>
        </w:tabs>
        <w:adjustRightInd w:val="0"/>
        <w:snapToGrid w:val="0"/>
        <w:spacing w:line="3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1DD5769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586FBFBC">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75DEF0BD">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7E63835C">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w:t>
      </w:r>
      <w:r>
        <w:rPr>
          <w:rFonts w:hint="eastAsia" w:ascii="仿宋" w:hAnsi="仿宋" w:eastAsia="仿宋" w:cs="仿宋"/>
          <w:bCs/>
          <w:color w:val="000000"/>
          <w:sz w:val="24"/>
          <w:highlight w:val="none"/>
          <w:lang w:val="en-US" w:eastAsia="zh-CN"/>
        </w:rPr>
        <w:t>合同价款</w:t>
      </w:r>
      <w:r>
        <w:rPr>
          <w:rFonts w:hint="eastAsia" w:ascii="仿宋" w:hAnsi="仿宋" w:eastAsia="仿宋" w:cs="仿宋"/>
          <w:bCs/>
          <w:color w:val="000000"/>
          <w:sz w:val="24"/>
          <w:highlight w:val="none"/>
        </w:rPr>
        <w:t>中扣除。</w:t>
      </w:r>
    </w:p>
    <w:p w14:paraId="1926598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5408D66E">
      <w:pPr>
        <w:tabs>
          <w:tab w:val="left" w:pos="567"/>
        </w:tabs>
        <w:adjustRightInd w:val="0"/>
        <w:snapToGrid w:val="0"/>
        <w:spacing w:line="3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7B74FF04">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1A3C8D9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1C61D4B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0A81A62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43143643">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7881F15D">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44A5D4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6CE3065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2B090EC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4DB26773">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514BD67D">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25152F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0457208B">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687AF86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BA1ED8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55C837F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345A70F5">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3141FAF">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73CB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662DEF7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65CA0672">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7AB18522">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5974F62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0447357E">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4547AF75">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53A8AB1A">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AEDB0F1">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2A561568">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w:t>
      </w:r>
      <w:r>
        <w:rPr>
          <w:rFonts w:hint="eastAsia" w:ascii="仿宋" w:hAnsi="仿宋" w:eastAsia="仿宋" w:cs="仿宋"/>
          <w:color w:val="000000"/>
          <w:sz w:val="24"/>
          <w:highlight w:val="none"/>
          <w:lang w:eastAsia="zh-CN"/>
        </w:rPr>
        <w:t>接收货物时</w:t>
      </w:r>
      <w:r>
        <w:rPr>
          <w:rFonts w:hint="eastAsia" w:ascii="仿宋" w:hAnsi="仿宋" w:eastAsia="仿宋" w:cs="仿宋"/>
          <w:color w:val="000000"/>
          <w:sz w:val="24"/>
          <w:highlight w:val="none"/>
        </w:rPr>
        <w:t>发生的实际费用与本合同价格之间的差额。</w:t>
      </w:r>
    </w:p>
    <w:p w14:paraId="1789F45E">
      <w:pPr>
        <w:adjustRightInd w:val="0"/>
        <w:snapToGrid w:val="0"/>
        <w:spacing w:line="3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3B589592">
      <w:pPr>
        <w:adjustRightInd w:val="0"/>
        <w:snapToGrid w:val="0"/>
        <w:spacing w:line="360" w:lineRule="exact"/>
        <w:ind w:firstLine="480" w:firstLineChars="200"/>
        <w:rPr>
          <w:rFonts w:ascii="仿宋" w:hAnsi="仿宋" w:eastAsia="仿宋" w:cs="仿宋"/>
          <w:b/>
          <w:bCs/>
          <w:color w:val="000000"/>
          <w:sz w:val="24"/>
          <w:highlight w:val="none"/>
        </w:rPr>
      </w:pPr>
      <w:r>
        <w:rPr>
          <w:rFonts w:hint="eastAsia" w:ascii="仿宋" w:hAnsi="仿宋" w:eastAsia="仿宋" w:cs="仿宋"/>
          <w:color w:val="000000"/>
          <w:sz w:val="24"/>
          <w:highlight w:val="none"/>
        </w:rPr>
        <w:t>2、甲方不按时支付货款,将按照拖延支付货款期间的</w:t>
      </w:r>
      <w:r>
        <w:rPr>
          <w:rFonts w:hint="default" w:ascii="仿宋" w:hAnsi="仿宋" w:eastAsia="仿宋" w:cs="仿宋"/>
          <w:color w:val="000000"/>
          <w:sz w:val="24"/>
          <w:highlight w:val="none"/>
        </w:rPr>
        <w:t>1</w:t>
      </w:r>
      <w:r>
        <w:rPr>
          <w:rFonts w:hint="eastAsia" w:ascii="仿宋" w:hAnsi="仿宋" w:eastAsia="仿宋" w:cs="仿宋"/>
          <w:color w:val="000000"/>
          <w:sz w:val="24"/>
          <w:highlight w:val="none"/>
          <w:lang w:val="en-US" w:eastAsia="zh-Hans"/>
        </w:rPr>
        <w:t>年期贷款市场报价</w:t>
      </w:r>
      <w:r>
        <w:rPr>
          <w:rFonts w:hint="eastAsia" w:ascii="仿宋" w:hAnsi="仿宋" w:eastAsia="仿宋" w:cs="仿宋"/>
          <w:color w:val="000000"/>
          <w:sz w:val="24"/>
          <w:highlight w:val="none"/>
        </w:rPr>
        <w:t>利率向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承担违约责任。</w:t>
      </w:r>
    </w:p>
    <w:p w14:paraId="5815A668">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3、合同签订后，乙方不能履约或不能全部履约，甲方有权解除合同，并赔偿因此而造成甲方的一切损失。</w:t>
      </w:r>
    </w:p>
    <w:p w14:paraId="2D065525">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4、乙方所交物资的品种、型号、规格不符合合同规定或者甲方另行发给乙方通知的，如果甲方同意利用，双方协商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28DF9B0F">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5、对于因乙方运输方式不合理造成货物到达指定地点之后货物的损失或丢失，乙方应承担全部责任。</w:t>
      </w:r>
    </w:p>
    <w:p w14:paraId="29B2CFAA">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728A4BD6">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2CE254B9">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64A3A772">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0B2E100B">
      <w:pPr>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3E9063EF">
      <w:pPr>
        <w:tabs>
          <w:tab w:val="left" w:pos="567"/>
        </w:tabs>
        <w:adjustRightInd w:val="0"/>
        <w:snapToGrid w:val="0"/>
        <w:spacing w:line="3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5C8081CD">
      <w:pPr>
        <w:tabs>
          <w:tab w:val="left" w:pos="567"/>
        </w:tabs>
        <w:adjustRightInd w:val="0"/>
        <w:snapToGrid w:val="0"/>
        <w:spacing w:line="360" w:lineRule="exact"/>
        <w:ind w:firstLine="420" w:firstLineChars="200"/>
        <w:rPr>
          <w:rFonts w:ascii="仿宋" w:hAnsi="仿宋" w:eastAsia="仿宋" w:cs="仿宋"/>
          <w:bCs/>
          <w:color w:val="000000"/>
          <w:sz w:val="24"/>
          <w:highlight w:val="none"/>
        </w:rPr>
      </w:pPr>
      <w:r>
        <w:rPr>
          <w:rFonts w:hint="eastAsia"/>
          <w:highlight w:val="none"/>
        </w:rPr>
        <w:t>1</w:t>
      </w:r>
      <w:r>
        <w:rPr>
          <w:rFonts w:hint="eastAsia" w:ascii="Calibri" w:eastAsia="宋体"/>
          <w:highlight w:val="none"/>
          <w:lang w:val="en-US" w:eastAsia="zh-CN"/>
        </w:rPr>
        <w:t>2</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294A0A57">
      <w:pPr>
        <w:tabs>
          <w:tab w:val="left" w:pos="567"/>
        </w:tabs>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4EC51F39">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041AFC7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23F0D8DA">
      <w:pPr>
        <w:tabs>
          <w:tab w:val="left" w:pos="567"/>
        </w:tabs>
        <w:adjustRightInd w:val="0"/>
        <w:snapToGrid w:val="0"/>
        <w:spacing w:line="3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九、</w:t>
      </w:r>
      <w:r>
        <w:rPr>
          <w:rFonts w:hint="eastAsia" w:ascii="仿宋" w:hAnsi="仿宋" w:eastAsia="仿宋" w:cs="仿宋"/>
          <w:b/>
          <w:bCs/>
          <w:color w:val="000000"/>
          <w:sz w:val="24"/>
          <w:highlight w:val="none"/>
        </w:rPr>
        <w:t>争议解决</w:t>
      </w:r>
    </w:p>
    <w:p w14:paraId="40698D28">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7ED05A94">
      <w:pPr>
        <w:tabs>
          <w:tab w:val="left" w:pos="567"/>
        </w:tabs>
        <w:adjustRightInd w:val="0"/>
        <w:snapToGrid w:val="0"/>
        <w:spacing w:line="3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bCs/>
          <w:color w:val="000000"/>
          <w:sz w:val="24"/>
          <w:highlight w:val="none"/>
        </w:rPr>
        <w:t>合同效力及份数</w:t>
      </w:r>
    </w:p>
    <w:p w14:paraId="0AE67B04">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7154E72A">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3FB773A4">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21F10C3C">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1871931">
      <w:pPr>
        <w:tabs>
          <w:tab w:val="left" w:pos="567"/>
        </w:tabs>
        <w:adjustRightInd w:val="0"/>
        <w:snapToGrid w:val="0"/>
        <w:spacing w:line="3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十一、其他约定</w:t>
      </w:r>
    </w:p>
    <w:p w14:paraId="4C0FD187">
      <w:pPr>
        <w:tabs>
          <w:tab w:val="left" w:pos="567"/>
        </w:tabs>
        <w:adjustRightInd w:val="0"/>
        <w:snapToGrid w:val="0"/>
        <w:spacing w:line="3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1、合同权利或义务的转移需经相对方书面同意,否则该转让行为对相对方不发生法律效力。</w:t>
      </w:r>
    </w:p>
    <w:p w14:paraId="21D98897">
      <w:pPr>
        <w:tabs>
          <w:tab w:val="left" w:pos="567"/>
        </w:tabs>
        <w:adjustRightInd w:val="0"/>
        <w:snapToGrid w:val="0"/>
        <w:spacing w:line="360" w:lineRule="exact"/>
        <w:ind w:firstLine="0" w:firstLineChars="0"/>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lang w:val="en-US" w:eastAsia="zh-CN"/>
        </w:rPr>
        <w:t xml:space="preserve">    </w:t>
      </w:r>
    </w:p>
    <w:p w14:paraId="04751253">
      <w:pPr>
        <w:tabs>
          <w:tab w:val="left" w:pos="567"/>
        </w:tabs>
        <w:adjustRightInd w:val="0"/>
        <w:snapToGrid w:val="0"/>
        <w:spacing w:line="360" w:lineRule="exact"/>
        <w:ind w:firstLine="0" w:firstLineChars="0"/>
        <w:rPr>
          <w:rFonts w:hint="eastAsia" w:ascii="仿宋" w:hAnsi="仿宋" w:eastAsia="仿宋" w:cs="仿宋"/>
          <w:color w:val="000000"/>
          <w:sz w:val="24"/>
          <w:highlight w:val="none"/>
        </w:rPr>
      </w:pPr>
    </w:p>
    <w:p w14:paraId="6467C64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582897B">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22714677">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7CDE2426">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6B6BEC4">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19B8EF20">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54167161">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3C6816FD">
      <w:pPr>
        <w:snapToGrid/>
        <w:spacing w:line="360" w:lineRule="auto"/>
        <w:ind w:firstLine="480" w:firstLineChars="200"/>
        <w:rPr>
          <w:rFonts w:hint="default" w:ascii="Times New Roman" w:hAnsi="Times New Roman" w:cs="Times New Roman"/>
          <w:lang w:val="en-US" w:eastAsia="zh-CN"/>
        </w:rPr>
      </w:pPr>
      <w:r>
        <w:rPr>
          <w:rFonts w:hint="eastAsia" w:ascii="仿宋" w:hAnsi="仿宋" w:eastAsia="仿宋" w:cs="仿宋"/>
          <w:color w:val="000000"/>
          <w:sz w:val="24"/>
          <w:highlight w:val="none"/>
        </w:rPr>
        <w:t>时间：   年  月  日                时间：   年  月  日</w:t>
      </w:r>
    </w:p>
    <w:p w14:paraId="049E6696"/>
    <w:p w14:paraId="25E45525">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3935">
    <w:pPr>
      <w:widowControl w:val="0"/>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0CAB6AE">
                    <w:pPr>
                      <w:widowControl w:val="0"/>
                      <w:snapToGrid w:val="0"/>
                      <w:jc w:val="left"/>
                      <w:rPr>
                        <w:rFonts w:hint="eastAsia" w:ascii="Times New Roman" w:hAnsi="Times New Roman" w:eastAsia="宋体" w:cs="Times New Roman"/>
                        <w:kern w:val="2"/>
                        <w:sz w:val="18"/>
                        <w:szCs w:val="20"/>
                        <w:lang w:val="en-US" w:eastAsia="zh-CN" w:bidi="ar-SA"/>
                      </w:rPr>
                    </w:pPr>
                    <w:r>
                      <w:rPr>
                        <w:rFonts w:hint="eastAsia" w:ascii="Times New Roman" w:hAnsi="Times New Roman" w:eastAsia="宋体" w:cs="Times New Roman"/>
                        <w:kern w:val="2"/>
                        <w:sz w:val="18"/>
                        <w:szCs w:val="20"/>
                        <w:lang w:val="en-US" w:eastAsia="zh-CN" w:bidi="ar-SA"/>
                      </w:rPr>
                      <w:fldChar w:fldCharType="begin"/>
                    </w:r>
                    <w:r>
                      <w:rPr>
                        <w:rFonts w:hint="eastAsia" w:ascii="Times New Roman" w:hAnsi="Times New Roman" w:eastAsia="宋体" w:cs="Times New Roman"/>
                        <w:kern w:val="2"/>
                        <w:sz w:val="18"/>
                        <w:szCs w:val="20"/>
                        <w:lang w:val="en-US" w:eastAsia="zh-CN" w:bidi="ar-SA"/>
                      </w:rPr>
                      <w:instrText xml:space="preserve"> PAGE  \* MERGEFORMAT </w:instrText>
                    </w:r>
                    <w:r>
                      <w:rPr>
                        <w:rFonts w:hint="eastAsia" w:ascii="Times New Roman" w:hAnsi="Times New Roman" w:eastAsia="宋体" w:cs="Times New Roman"/>
                        <w:kern w:val="2"/>
                        <w:sz w:val="18"/>
                        <w:szCs w:val="20"/>
                        <w:lang w:val="en-US" w:eastAsia="zh-CN" w:bidi="ar-SA"/>
                      </w:rPr>
                      <w:fldChar w:fldCharType="separate"/>
                    </w:r>
                    <w:r>
                      <w:rPr>
                        <w:rFonts w:hint="eastAsia" w:ascii="Times New Roman" w:hAnsi="Times New Roman" w:eastAsia="宋体" w:cs="Times New Roman"/>
                        <w:kern w:val="2"/>
                        <w:sz w:val="18"/>
                        <w:szCs w:val="20"/>
                        <w:lang w:val="en-US" w:eastAsia="zh-CN" w:bidi="ar-SA"/>
                      </w:rPr>
                      <w:t>0</w:t>
                    </w:r>
                    <w:r>
                      <w:rPr>
                        <w:rFonts w:hint="eastAsia" w:ascii="Times New Roman" w:hAnsi="Times New Roman" w:eastAsia="宋体" w:cs="Times New Roman"/>
                        <w:kern w:val="2"/>
                        <w:sz w:val="18"/>
                        <w:szCs w:val="20"/>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57E50"/>
    <w:rsid w:val="36B5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next w:val="4"/>
    <w:semiHidden/>
    <w:qFormat/>
    <w:uiPriority w:val="0"/>
    <w:pPr>
      <w:ind w:firstLine="420" w:firstLineChars="100"/>
    </w:pPr>
    <w:rPr>
      <w:rFonts w:eastAsia="Times New Roman"/>
    </w:rPr>
  </w:style>
  <w:style w:type="paragraph" w:customStyle="1" w:styleId="4">
    <w:name w:val="段落正文"/>
    <w:basedOn w:val="1"/>
    <w:qFormat/>
    <w:uiPriority w:val="0"/>
    <w:pPr>
      <w:spacing w:before="50" w:beforeLines="50" w:line="360" w:lineRule="auto"/>
      <w:ind w:firstLine="200" w:firstLineChars="200"/>
    </w:pPr>
    <w:rPr>
      <w:spacing w:val="2"/>
      <w:sz w:val="24"/>
      <w:szCs w:val="20"/>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2025-02-28T08:48:00Z</dcterms:created>
  <dc:creator>三岁羡</dc:creator>
  <cp:lastModifiedBy>三岁羡</cp:lastModifiedBy>
  <dcterms:modified xsi:type="dcterms:W3CDTF">2025-02-28T08:48:55Z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4B812F4B204E4A5082BF98516E7B9769_11</vt:lpwstr>
  </property>
  <property fmtid="{D5CDD505-2E9C-101B-9397-08002B2CF9AE}" pid="4" name="KSOTemplateDocerSaveRecord">
    <vt:lpwstr>eyJoZGlkIjoiZjZlZTYxZGMxZWQ3NTVmYTllZGZjNjRlZGUxMTRhNDUiLCJ1c2VySWQiOiI0OTA4MDEyMzMifQ==</vt:lpwstr>
  </property>
</Properties>
</file>