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EEC42E">
      <w:pPr>
        <w:rPr>
          <w:rFonts w:hint="default" w:ascii="Times New Roman" w:hAnsi="Times New Roman" w:eastAsia="黑体" w:cs="Times New Roman"/>
          <w:bCs/>
          <w:color w:val="auto"/>
          <w:sz w:val="32"/>
          <w:szCs w:val="32"/>
          <w:lang w:val="en-US" w:eastAsia="zh-CN"/>
        </w:rPr>
      </w:pPr>
      <w:r>
        <w:rPr>
          <w:rFonts w:hint="default" w:ascii="Times New Roman" w:hAnsi="Times New Roman" w:eastAsia="黑体" w:cs="Times New Roman"/>
          <w:bCs/>
          <w:color w:val="auto"/>
          <w:sz w:val="32"/>
          <w:szCs w:val="32"/>
          <w:lang w:eastAsia="zh-CN"/>
        </w:rPr>
        <w:t>附件</w:t>
      </w:r>
      <w:r>
        <w:rPr>
          <w:rFonts w:hint="eastAsia" w:eastAsia="黑体" w:cs="Times New Roman"/>
          <w:bCs/>
          <w:color w:val="auto"/>
          <w:sz w:val="32"/>
          <w:szCs w:val="32"/>
          <w:lang w:val="en-US" w:eastAsia="zh-CN"/>
        </w:rPr>
        <w:t>1：</w:t>
      </w:r>
    </w:p>
    <w:p w14:paraId="048A2647">
      <w:pPr>
        <w:pStyle w:val="2"/>
        <w:jc w:val="center"/>
        <w:rPr>
          <w:rFonts w:hint="eastAsia" w:ascii="Times New Roman" w:hAnsi="Times New Roman" w:eastAsia="仿宋_GB2312" w:cs="Times New Roman"/>
          <w:b/>
          <w:bCs/>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授权委托书</w:t>
      </w:r>
    </w:p>
    <w:p w14:paraId="2227095E">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仿宋" w:hAnsi="仿宋" w:eastAsia="仿宋" w:cs="仿宋"/>
          <w:color w:val="auto"/>
          <w:sz w:val="28"/>
          <w:szCs w:val="28"/>
          <w:highlight w:val="none"/>
          <w:u w:val="single"/>
        </w:rPr>
        <w:t xml:space="preserve"> </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公司（以下简称“本公司”），系根据中华人民共和国法律设立并存续的公司，其注册地在</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。根据本公司做出的决定，谨郑重授权</w:t>
      </w:r>
      <w:r>
        <w:rPr>
          <w:rFonts w:hint="eastAsia" w:ascii="Times New Roman" w:hAnsi="Times New Roman" w:eastAsia="仿宋_GB2312" w:cs="Times New Roman"/>
          <w:color w:val="auto"/>
          <w:sz w:val="32"/>
          <w:szCs w:val="32"/>
          <w:highlight w:val="none"/>
          <w:u w:val="single"/>
          <w:lang w:val="en-US" w:eastAsia="zh-CN"/>
        </w:rPr>
        <w:t xml:space="preserve">      </w:t>
      </w:r>
      <w:r>
        <w:rPr>
          <w:rFonts w:hint="eastAsia" w:ascii="Times New Roman" w:hAnsi="Times New Roman" w:eastAsia="仿宋_GB2312" w:cs="Times New Roman"/>
          <w:color w:val="auto"/>
          <w:sz w:val="32"/>
          <w:szCs w:val="32"/>
          <w:highlight w:val="none"/>
          <w:lang w:val="en-US" w:eastAsia="zh-CN"/>
        </w:rPr>
        <w:t xml:space="preserve">   （姓名、职务）为本公司正式合法的授权代理人，该代理人有权代表本公司参加（项目名称）的调研活动，代理人在调研及合同执行过程中，代表本公司处理一切与之有关的事务，本公司均予以认可。</w:t>
      </w:r>
    </w:p>
    <w:p w14:paraId="63F7C0C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代理人无权转委托。</w:t>
      </w:r>
    </w:p>
    <w:p w14:paraId="1E27EBC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本授权书于      年    月    日签字生效，特此声明。</w:t>
      </w:r>
    </w:p>
    <w:p w14:paraId="5707F0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031AFB5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报价人名称（盖章）：  </w:t>
      </w:r>
    </w:p>
    <w:p w14:paraId="2C8358A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46F623B5">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法定代表人（签字）：</w:t>
      </w:r>
    </w:p>
    <w:p w14:paraId="6736686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身份证号：</w:t>
      </w:r>
    </w:p>
    <w:p w14:paraId="7F0FF7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p>
    <w:p w14:paraId="2922E18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代理人（签字）：</w:t>
      </w:r>
    </w:p>
    <w:p w14:paraId="43E9469A">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身份证号： </w:t>
      </w:r>
    </w:p>
    <w:p w14:paraId="1B43099A">
      <w:pPr>
        <w:pStyle w:val="2"/>
        <w:rPr>
          <w:rFonts w:hint="default"/>
          <w:lang w:val="en-US" w:eastAsia="zh-CN"/>
        </w:rPr>
      </w:pPr>
      <w:r>
        <w:rPr>
          <w:rFonts w:hint="eastAsia" w:ascii="Times New Roman" w:hAnsi="Times New Roman" w:eastAsia="仿宋_GB2312" w:cs="Times New Roman"/>
          <w:color w:val="auto"/>
          <w:sz w:val="32"/>
          <w:szCs w:val="32"/>
          <w:highlight w:val="none"/>
          <w:lang w:val="en-US" w:eastAsia="zh-CN"/>
        </w:rPr>
        <w:t>联系电话：</w:t>
      </w:r>
    </w:p>
    <w:p w14:paraId="2D90D5E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 xml:space="preserve">      年    月    日</w:t>
      </w:r>
    </w:p>
    <w:p w14:paraId="028B7D7E">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32"/>
          <w:szCs w:val="32"/>
          <w:highlight w:val="none"/>
          <w:lang w:val="en-US" w:eastAsia="zh-CN"/>
        </w:rPr>
      </w:pPr>
    </w:p>
    <w:p w14:paraId="501F6524">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附：1.法定代表人及代理人身份证复印件（需加盖单位公章）</w:t>
      </w:r>
    </w:p>
    <w:p w14:paraId="1FCAB54B">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2.法定代表人直接参加不须提供，但须提供法定代表人证明原件</w:t>
      </w:r>
    </w:p>
    <w:p w14:paraId="39512BA3">
      <w:pPr>
        <w:pStyle w:val="6"/>
        <w:rPr>
          <w:rFonts w:hint="default"/>
          <w:highlight w:val="none"/>
          <w:lang w:eastAsia="zh-CN"/>
        </w:rPr>
        <w:sectPr>
          <w:pgSz w:w="11906" w:h="16838"/>
          <w:pgMar w:top="1440" w:right="1800" w:bottom="1440" w:left="1800" w:header="851" w:footer="992" w:gutter="0"/>
          <w:cols w:space="425" w:num="1"/>
          <w:docGrid w:type="lines" w:linePitch="312" w:charSpace="0"/>
        </w:sectPr>
      </w:pPr>
    </w:p>
    <w:p w14:paraId="1B50C223">
      <w:pPr>
        <w:rPr>
          <w:rFonts w:hint="eastAsia"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eastAsia" w:eastAsia="黑体" w:cs="Times New Roman"/>
          <w:bCs/>
          <w:color w:val="auto"/>
          <w:sz w:val="32"/>
          <w:szCs w:val="32"/>
          <w:highlight w:val="none"/>
          <w:lang w:val="en-US" w:eastAsia="zh-CN"/>
        </w:rPr>
        <w:t>2：</w:t>
      </w:r>
    </w:p>
    <w:p w14:paraId="480F6F9D">
      <w:pPr>
        <w:jc w:val="center"/>
        <w:rPr>
          <w:rFonts w:hint="default" w:ascii="Times New Roman" w:hAnsi="Times New Roman" w:eastAsia="方正小标宋简体" w:cs="Times New Roman"/>
          <w:bCs/>
          <w:color w:val="auto"/>
          <w:sz w:val="44"/>
          <w:szCs w:val="44"/>
          <w:highlight w:val="none"/>
          <w:lang w:val="en-US" w:eastAsia="zh-CN"/>
        </w:rPr>
      </w:pPr>
      <w:r>
        <w:rPr>
          <w:rFonts w:hint="eastAsia" w:ascii="Times New Roman" w:hAnsi="Times New Roman" w:eastAsia="方正小标宋简体" w:cs="Times New Roman"/>
          <w:bCs/>
          <w:color w:val="auto"/>
          <w:sz w:val="44"/>
          <w:szCs w:val="44"/>
          <w:highlight w:val="none"/>
          <w:lang w:val="en-US" w:eastAsia="zh-CN"/>
        </w:rPr>
        <w:t>营业执照</w:t>
      </w:r>
      <w:r>
        <w:rPr>
          <w:rFonts w:hint="eastAsia" w:ascii="Times New Roman" w:hAnsi="Times New Roman" w:eastAsia="方正小标宋简体" w:cs="Times New Roman"/>
          <w:bCs/>
          <w:color w:val="auto"/>
          <w:sz w:val="44"/>
          <w:szCs w:val="44"/>
          <w:highlight w:val="none"/>
        </w:rPr>
        <w:t>资质</w:t>
      </w:r>
      <w:r>
        <w:rPr>
          <w:rFonts w:hint="eastAsia" w:ascii="Times New Roman" w:hAnsi="Times New Roman" w:eastAsia="方正小标宋简体" w:cs="Times New Roman"/>
          <w:bCs/>
          <w:color w:val="auto"/>
          <w:sz w:val="44"/>
          <w:szCs w:val="44"/>
          <w:highlight w:val="none"/>
          <w:lang w:val="en-US" w:eastAsia="zh-CN"/>
        </w:rPr>
        <w:t>等证明材料</w:t>
      </w:r>
    </w:p>
    <w:p w14:paraId="2FC3046C">
      <w:pPr>
        <w:rPr>
          <w:rFonts w:hint="default" w:ascii="Times New Roman" w:hAnsi="Times New Roman" w:eastAsia="黑体" w:cs="Times New Roman"/>
          <w:bCs/>
          <w:color w:val="auto"/>
          <w:sz w:val="32"/>
          <w:szCs w:val="32"/>
          <w:highlight w:val="none"/>
          <w:lang w:eastAsia="zh-CN"/>
        </w:rPr>
      </w:pPr>
    </w:p>
    <w:p w14:paraId="76A9F50F">
      <w:pPr>
        <w:pStyle w:val="2"/>
        <w:rPr>
          <w:rFonts w:hint="default" w:ascii="Times New Roman" w:hAnsi="Times New Roman" w:eastAsia="黑体" w:cs="Times New Roman"/>
          <w:bCs/>
          <w:color w:val="auto"/>
          <w:sz w:val="32"/>
          <w:szCs w:val="32"/>
          <w:highlight w:val="none"/>
          <w:lang w:eastAsia="zh-CN"/>
        </w:rPr>
      </w:pPr>
    </w:p>
    <w:p w14:paraId="46034161">
      <w:pPr>
        <w:rPr>
          <w:rFonts w:hint="default" w:ascii="Times New Roman" w:hAnsi="Times New Roman" w:eastAsia="黑体" w:cs="Times New Roman"/>
          <w:bCs/>
          <w:color w:val="auto"/>
          <w:sz w:val="32"/>
          <w:szCs w:val="32"/>
          <w:highlight w:val="none"/>
          <w:lang w:eastAsia="zh-CN"/>
        </w:rPr>
      </w:pPr>
    </w:p>
    <w:p w14:paraId="41C70C66">
      <w:pPr>
        <w:pStyle w:val="2"/>
        <w:rPr>
          <w:rFonts w:hint="default" w:ascii="Times New Roman" w:hAnsi="Times New Roman" w:eastAsia="黑体" w:cs="Times New Roman"/>
          <w:bCs/>
          <w:color w:val="auto"/>
          <w:sz w:val="32"/>
          <w:szCs w:val="32"/>
          <w:highlight w:val="none"/>
          <w:lang w:eastAsia="zh-CN"/>
        </w:rPr>
      </w:pPr>
      <w:bookmarkStart w:id="0" w:name="_GoBack"/>
      <w:bookmarkEnd w:id="0"/>
    </w:p>
    <w:p w14:paraId="65224DAF">
      <w:pPr>
        <w:rPr>
          <w:rFonts w:hint="default" w:ascii="Times New Roman" w:hAnsi="Times New Roman" w:eastAsia="黑体" w:cs="Times New Roman"/>
          <w:bCs/>
          <w:color w:val="auto"/>
          <w:sz w:val="32"/>
          <w:szCs w:val="32"/>
          <w:highlight w:val="none"/>
          <w:lang w:eastAsia="zh-CN"/>
        </w:rPr>
      </w:pPr>
    </w:p>
    <w:p w14:paraId="3D55B826">
      <w:pPr>
        <w:pStyle w:val="2"/>
        <w:rPr>
          <w:rFonts w:hint="default" w:ascii="Times New Roman" w:hAnsi="Times New Roman" w:eastAsia="黑体" w:cs="Times New Roman"/>
          <w:bCs/>
          <w:color w:val="auto"/>
          <w:sz w:val="32"/>
          <w:szCs w:val="32"/>
          <w:highlight w:val="none"/>
          <w:lang w:eastAsia="zh-CN"/>
        </w:rPr>
      </w:pPr>
    </w:p>
    <w:p w14:paraId="70953978">
      <w:pPr>
        <w:rPr>
          <w:rFonts w:hint="default" w:ascii="Times New Roman" w:hAnsi="Times New Roman" w:eastAsia="黑体" w:cs="Times New Roman"/>
          <w:bCs/>
          <w:color w:val="auto"/>
          <w:sz w:val="32"/>
          <w:szCs w:val="32"/>
          <w:highlight w:val="none"/>
          <w:lang w:eastAsia="zh-CN"/>
        </w:rPr>
      </w:pPr>
    </w:p>
    <w:p w14:paraId="70B947D1">
      <w:pPr>
        <w:pStyle w:val="2"/>
        <w:rPr>
          <w:rFonts w:hint="default" w:ascii="Times New Roman" w:hAnsi="Times New Roman" w:eastAsia="黑体" w:cs="Times New Roman"/>
          <w:bCs/>
          <w:color w:val="auto"/>
          <w:sz w:val="32"/>
          <w:szCs w:val="32"/>
          <w:highlight w:val="none"/>
          <w:lang w:eastAsia="zh-CN"/>
        </w:rPr>
      </w:pPr>
    </w:p>
    <w:p w14:paraId="21C2835A">
      <w:pPr>
        <w:rPr>
          <w:rFonts w:hint="default" w:ascii="Times New Roman" w:hAnsi="Times New Roman" w:eastAsia="黑体" w:cs="Times New Roman"/>
          <w:bCs/>
          <w:color w:val="auto"/>
          <w:sz w:val="32"/>
          <w:szCs w:val="32"/>
          <w:highlight w:val="none"/>
          <w:lang w:eastAsia="zh-CN"/>
        </w:rPr>
      </w:pPr>
    </w:p>
    <w:p w14:paraId="24E3600D">
      <w:pPr>
        <w:pStyle w:val="2"/>
        <w:rPr>
          <w:rFonts w:hint="default" w:ascii="Times New Roman" w:hAnsi="Times New Roman" w:eastAsia="黑体" w:cs="Times New Roman"/>
          <w:bCs/>
          <w:color w:val="auto"/>
          <w:sz w:val="32"/>
          <w:szCs w:val="32"/>
          <w:highlight w:val="none"/>
          <w:lang w:eastAsia="zh-CN"/>
        </w:rPr>
      </w:pPr>
    </w:p>
    <w:p w14:paraId="66FC34C4">
      <w:pPr>
        <w:rPr>
          <w:rFonts w:hint="default" w:ascii="Times New Roman" w:hAnsi="Times New Roman" w:eastAsia="黑体" w:cs="Times New Roman"/>
          <w:bCs/>
          <w:color w:val="auto"/>
          <w:sz w:val="32"/>
          <w:szCs w:val="32"/>
          <w:highlight w:val="none"/>
          <w:lang w:eastAsia="zh-CN"/>
        </w:rPr>
      </w:pPr>
    </w:p>
    <w:p w14:paraId="02041F69">
      <w:pPr>
        <w:pStyle w:val="2"/>
        <w:rPr>
          <w:rFonts w:hint="default" w:ascii="Times New Roman" w:hAnsi="Times New Roman" w:eastAsia="黑体" w:cs="Times New Roman"/>
          <w:bCs/>
          <w:color w:val="auto"/>
          <w:sz w:val="32"/>
          <w:szCs w:val="32"/>
          <w:highlight w:val="none"/>
          <w:lang w:eastAsia="zh-CN"/>
        </w:rPr>
      </w:pPr>
    </w:p>
    <w:p w14:paraId="032E4CD1">
      <w:pPr>
        <w:rPr>
          <w:rFonts w:hint="default" w:ascii="Times New Roman" w:hAnsi="Times New Roman" w:eastAsia="黑体" w:cs="Times New Roman"/>
          <w:bCs/>
          <w:color w:val="auto"/>
          <w:sz w:val="32"/>
          <w:szCs w:val="32"/>
          <w:highlight w:val="none"/>
          <w:lang w:eastAsia="zh-CN"/>
        </w:rPr>
      </w:pPr>
    </w:p>
    <w:p w14:paraId="2587C752">
      <w:pPr>
        <w:pStyle w:val="2"/>
        <w:rPr>
          <w:rFonts w:hint="default" w:ascii="Times New Roman" w:hAnsi="Times New Roman" w:eastAsia="黑体" w:cs="Times New Roman"/>
          <w:bCs/>
          <w:color w:val="auto"/>
          <w:sz w:val="32"/>
          <w:szCs w:val="32"/>
          <w:highlight w:val="none"/>
          <w:lang w:eastAsia="zh-CN"/>
        </w:rPr>
      </w:pPr>
    </w:p>
    <w:p w14:paraId="01971813">
      <w:pPr>
        <w:rPr>
          <w:rFonts w:hint="default" w:ascii="Times New Roman" w:hAnsi="Times New Roman" w:eastAsia="黑体" w:cs="Times New Roman"/>
          <w:bCs/>
          <w:color w:val="auto"/>
          <w:sz w:val="32"/>
          <w:szCs w:val="32"/>
          <w:highlight w:val="none"/>
          <w:lang w:eastAsia="zh-CN"/>
        </w:rPr>
      </w:pPr>
    </w:p>
    <w:p w14:paraId="1D0F6B04">
      <w:pPr>
        <w:pStyle w:val="2"/>
        <w:rPr>
          <w:rFonts w:hint="default" w:ascii="Times New Roman" w:hAnsi="Times New Roman" w:eastAsia="黑体" w:cs="Times New Roman"/>
          <w:bCs/>
          <w:color w:val="auto"/>
          <w:sz w:val="32"/>
          <w:szCs w:val="32"/>
          <w:highlight w:val="none"/>
          <w:lang w:eastAsia="zh-CN"/>
        </w:rPr>
      </w:pPr>
    </w:p>
    <w:p w14:paraId="0DC73B43">
      <w:pPr>
        <w:rPr>
          <w:rFonts w:hint="default" w:ascii="Times New Roman" w:hAnsi="Times New Roman" w:eastAsia="黑体" w:cs="Times New Roman"/>
          <w:bCs/>
          <w:color w:val="auto"/>
          <w:sz w:val="32"/>
          <w:szCs w:val="32"/>
          <w:highlight w:val="none"/>
          <w:lang w:eastAsia="zh-CN"/>
        </w:rPr>
      </w:pPr>
    </w:p>
    <w:p w14:paraId="68224E2A">
      <w:pPr>
        <w:pStyle w:val="2"/>
        <w:rPr>
          <w:rFonts w:hint="default"/>
          <w:lang w:eastAsia="zh-CN"/>
        </w:rPr>
      </w:pPr>
    </w:p>
    <w:p w14:paraId="51FEACC3">
      <w:pPr>
        <w:rPr>
          <w:rFonts w:hint="default"/>
          <w:lang w:eastAsia="zh-CN"/>
        </w:rPr>
      </w:pPr>
    </w:p>
    <w:p w14:paraId="3E437F2B">
      <w:pP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eastAsia" w:eastAsia="黑体" w:cs="Times New Roman"/>
          <w:bCs/>
          <w:color w:val="auto"/>
          <w:sz w:val="32"/>
          <w:szCs w:val="32"/>
          <w:highlight w:val="none"/>
          <w:lang w:val="en-US" w:eastAsia="zh-CN"/>
        </w:rPr>
        <w:t>3：</w:t>
      </w:r>
    </w:p>
    <w:p w14:paraId="461EEF36">
      <w:pPr>
        <w:jc w:val="center"/>
        <w:rPr>
          <w:rFonts w:hint="default" w:ascii="Times New Roman" w:hAnsi="Times New Roman" w:eastAsia="方正小标宋简体" w:cs="Times New Roman"/>
          <w:bCs/>
          <w:color w:val="auto"/>
          <w:sz w:val="44"/>
          <w:szCs w:val="44"/>
          <w:highlight w:val="none"/>
        </w:rPr>
      </w:pPr>
      <w:r>
        <w:rPr>
          <w:rFonts w:hint="default" w:ascii="Times New Roman" w:hAnsi="Times New Roman" w:eastAsia="方正小标宋简体" w:cs="Times New Roman"/>
          <w:bCs/>
          <w:color w:val="auto"/>
          <w:sz w:val="44"/>
          <w:szCs w:val="44"/>
          <w:highlight w:val="none"/>
        </w:rPr>
        <w:t>报价函</w:t>
      </w:r>
    </w:p>
    <w:p w14:paraId="082F20B4">
      <w:pPr>
        <w:pStyle w:val="2"/>
        <w:rPr>
          <w:rFonts w:hint="default" w:ascii="Times New Roman" w:hAnsi="Times New Roman" w:eastAsia="仿宋_GB2312" w:cs="Times New Roman"/>
          <w:color w:val="auto"/>
          <w:sz w:val="32"/>
          <w:szCs w:val="32"/>
          <w:highlight w:val="none"/>
        </w:rPr>
      </w:pPr>
    </w:p>
    <w:p w14:paraId="6E27F60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四川中彩源工程有限公司</w:t>
      </w:r>
      <w:r>
        <w:rPr>
          <w:rFonts w:hint="default" w:ascii="Times New Roman" w:hAnsi="Times New Roman" w:eastAsia="仿宋_GB2312" w:cs="Times New Roman"/>
          <w:color w:val="auto"/>
          <w:sz w:val="32"/>
          <w:szCs w:val="32"/>
          <w:highlight w:val="none"/>
        </w:rPr>
        <w:t>：</w:t>
      </w:r>
    </w:p>
    <w:p w14:paraId="50C740B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color w:val="auto"/>
          <w:sz w:val="32"/>
          <w:szCs w:val="32"/>
          <w:highlight w:val="none"/>
        </w:rPr>
      </w:pPr>
      <w:r>
        <w:rPr>
          <w:rFonts w:hint="default" w:ascii="Times New Roman" w:hAnsi="Times New Roman" w:eastAsia="仿宋_GB2312" w:cs="Times New Roman"/>
          <w:color w:val="auto"/>
          <w:sz w:val="32"/>
          <w:szCs w:val="32"/>
          <w:highlight w:val="none"/>
        </w:rPr>
        <w:t>关于</w:t>
      </w:r>
      <w:r>
        <w:rPr>
          <w:rFonts w:hint="eastAsia" w:eastAsia="仿宋_GB2312" w:cs="Times New Roman"/>
          <w:color w:val="auto"/>
          <w:sz w:val="32"/>
          <w:szCs w:val="32"/>
          <w:highlight w:val="none"/>
          <w:lang w:val="en-US" w:eastAsia="zh-CN"/>
        </w:rPr>
        <w:t>贵公司</w:t>
      </w:r>
      <w:r>
        <w:rPr>
          <w:rFonts w:hint="eastAsia" w:eastAsia="仿宋_GB2312" w:cs="Times New Roman"/>
          <w:color w:val="auto"/>
          <w:sz w:val="32"/>
          <w:szCs w:val="32"/>
          <w:highlight w:val="none"/>
          <w:u w:val="single"/>
          <w:lang w:val="en-US" w:eastAsia="zh-CN"/>
        </w:rPr>
        <w:t xml:space="preserve">  门窗采购控制价  </w:t>
      </w:r>
      <w:r>
        <w:rPr>
          <w:rFonts w:hint="eastAsia" w:eastAsia="仿宋_GB2312" w:cs="Times New Roman"/>
          <w:color w:val="auto"/>
          <w:sz w:val="32"/>
          <w:szCs w:val="32"/>
          <w:highlight w:val="none"/>
          <w:u w:val="none"/>
          <w:lang w:val="en-US" w:eastAsia="zh-CN"/>
        </w:rPr>
        <w:t>调研函</w:t>
      </w:r>
      <w:r>
        <w:rPr>
          <w:rFonts w:hint="default" w:ascii="Times New Roman" w:hAnsi="Times New Roman" w:eastAsia="仿宋_GB2312" w:cs="Times New Roman"/>
          <w:color w:val="auto"/>
          <w:sz w:val="32"/>
          <w:szCs w:val="32"/>
          <w:highlight w:val="none"/>
        </w:rPr>
        <w:t>，结合</w:t>
      </w:r>
      <w:r>
        <w:rPr>
          <w:rFonts w:hint="default" w:ascii="Times New Roman" w:hAnsi="Times New Roman" w:eastAsia="仿宋_GB2312" w:cs="Times New Roman"/>
          <w:color w:val="auto"/>
          <w:sz w:val="32"/>
          <w:szCs w:val="32"/>
          <w:highlight w:val="none"/>
          <w:lang w:val="en-US" w:eastAsia="zh-CN"/>
        </w:rPr>
        <w:t>相关情况</w:t>
      </w:r>
      <w:r>
        <w:rPr>
          <w:rFonts w:hint="default" w:ascii="Times New Roman" w:hAnsi="Times New Roman" w:eastAsia="仿宋_GB2312" w:cs="Times New Roman"/>
          <w:color w:val="auto"/>
          <w:sz w:val="32"/>
          <w:szCs w:val="32"/>
          <w:highlight w:val="none"/>
        </w:rPr>
        <w:t>，经仔细研究决定，我方（单位</w:t>
      </w:r>
      <w:r>
        <w:rPr>
          <w:rFonts w:hint="default" w:ascii="Times New Roman" w:hAnsi="Times New Roman" w:eastAsia="仿宋_GB2312" w:cs="Times New Roman"/>
          <w:color w:val="auto"/>
          <w:sz w:val="32"/>
          <w:szCs w:val="32"/>
          <w:highlight w:val="none"/>
          <w:lang w:eastAsia="zh-CN"/>
        </w:rPr>
        <w:t>名称</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single"/>
          <w:lang w:val="en-US" w:eastAsia="zh-CN"/>
        </w:rPr>
        <w:t xml:space="preserve">          </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u w:val="none"/>
          <w:lang w:val="en-US" w:eastAsia="zh-CN"/>
        </w:rPr>
        <w:t>关于门窗采购报价</w:t>
      </w:r>
      <w:r>
        <w:rPr>
          <w:rFonts w:hint="eastAsia" w:eastAsia="仿宋_GB2312" w:cs="Times New Roman"/>
          <w:b w:val="0"/>
          <w:color w:val="auto"/>
          <w:sz w:val="32"/>
          <w:szCs w:val="32"/>
          <w:highlight w:val="none"/>
          <w:lang w:val="en-US" w:eastAsia="zh-CN"/>
        </w:rPr>
        <w:t>总价为</w:t>
      </w:r>
      <w:r>
        <w:rPr>
          <w:rFonts w:hint="default" w:ascii="Times New Roman" w:hAnsi="Times New Roman" w:eastAsia="仿宋_GB2312" w:cs="Times New Roman"/>
          <w:b w:val="0"/>
          <w:color w:val="auto"/>
          <w:sz w:val="32"/>
          <w:szCs w:val="32"/>
          <w:highlight w:val="none"/>
          <w:u w:val="single"/>
        </w:rPr>
        <w:t xml:space="preserve">      </w:t>
      </w:r>
      <w:r>
        <w:rPr>
          <w:rFonts w:hint="default" w:ascii="Times New Roman" w:hAnsi="Times New Roman" w:eastAsia="仿宋_GB2312" w:cs="Times New Roman"/>
          <w:b w:val="0"/>
          <w:color w:val="auto"/>
          <w:sz w:val="32"/>
          <w:szCs w:val="32"/>
          <w:highlight w:val="none"/>
        </w:rPr>
        <w:t>元</w:t>
      </w:r>
      <w:r>
        <w:rPr>
          <w:rFonts w:hint="eastAsia" w:ascii="Times New Roman" w:hAnsi="Times New Roman" w:eastAsia="仿宋_GB2312" w:cs="Times New Roman"/>
          <w:b w:val="0"/>
          <w:color w:val="auto"/>
          <w:sz w:val="32"/>
          <w:szCs w:val="32"/>
          <w:highlight w:val="none"/>
          <w:lang w:eastAsia="zh-CN"/>
        </w:rPr>
        <w:t>（</w:t>
      </w:r>
      <w:r>
        <w:rPr>
          <w:rFonts w:hint="eastAsia" w:ascii="Times New Roman" w:hAnsi="Times New Roman" w:eastAsia="仿宋_GB2312" w:cs="Times New Roman"/>
          <w:b w:val="0"/>
          <w:color w:val="auto"/>
          <w:sz w:val="32"/>
          <w:szCs w:val="32"/>
          <w:highlight w:val="none"/>
          <w:lang w:val="en-US" w:eastAsia="zh-CN"/>
        </w:rPr>
        <w:t>含税价</w:t>
      </w:r>
      <w:r>
        <w:rPr>
          <w:rFonts w:hint="eastAsia" w:ascii="Times New Roman" w:hAnsi="Times New Roman" w:eastAsia="仿宋_GB2312" w:cs="Times New Roman"/>
          <w:b w:val="0"/>
          <w:color w:val="auto"/>
          <w:sz w:val="32"/>
          <w:szCs w:val="32"/>
          <w:highlight w:val="none"/>
          <w:lang w:eastAsia="zh-CN"/>
        </w:rPr>
        <w:t>），</w:t>
      </w:r>
      <w:r>
        <w:rPr>
          <w:rFonts w:hint="default" w:ascii="Times New Roman" w:hAnsi="Times New Roman" w:eastAsia="仿宋_GB2312" w:cs="Times New Roman"/>
          <w:b w:val="0"/>
          <w:color w:val="auto"/>
          <w:sz w:val="32"/>
          <w:szCs w:val="32"/>
          <w:highlight w:val="none"/>
        </w:rPr>
        <w:t>（</w:t>
      </w:r>
      <w:r>
        <w:rPr>
          <w:rFonts w:hint="default" w:ascii="Times New Roman" w:hAnsi="Times New Roman" w:eastAsia="仿宋_GB2312" w:cs="Times New Roman"/>
          <w:b w:val="0"/>
          <w:color w:val="auto"/>
          <w:sz w:val="32"/>
          <w:szCs w:val="32"/>
          <w:highlight w:val="none"/>
          <w:u w:val="none"/>
        </w:rPr>
        <w:t>大写：</w:t>
      </w:r>
      <w:r>
        <w:rPr>
          <w:rFonts w:hint="default" w:ascii="Times New Roman" w:hAnsi="Times New Roman" w:eastAsia="仿宋_GB2312" w:cs="Times New Roman"/>
          <w:b w:val="0"/>
          <w:color w:val="auto"/>
          <w:sz w:val="32"/>
          <w:szCs w:val="32"/>
          <w:highlight w:val="none"/>
          <w:u w:val="single"/>
        </w:rPr>
        <w:t xml:space="preserve">     </w:t>
      </w:r>
      <w:r>
        <w:rPr>
          <w:rFonts w:hint="default" w:ascii="Times New Roman" w:hAnsi="Times New Roman" w:eastAsia="仿宋_GB2312" w:cs="Times New Roman"/>
          <w:b w:val="0"/>
          <w:color w:val="auto"/>
          <w:sz w:val="32"/>
          <w:szCs w:val="32"/>
          <w:highlight w:val="none"/>
        </w:rPr>
        <w:t>）</w:t>
      </w:r>
      <w:r>
        <w:rPr>
          <w:rFonts w:hint="eastAsia" w:eastAsia="仿宋_GB2312" w:cs="Times New Roman"/>
          <w:b w:val="0"/>
          <w:color w:val="auto"/>
          <w:sz w:val="32"/>
          <w:szCs w:val="32"/>
          <w:highlight w:val="none"/>
          <w:lang w:eastAsia="zh-CN"/>
        </w:rPr>
        <w:t>，</w:t>
      </w:r>
      <w:r>
        <w:rPr>
          <w:rFonts w:hint="eastAsia" w:ascii="Times New Roman" w:hAnsi="Times New Roman" w:eastAsia="仿宋_GB2312" w:cs="Times New Roman"/>
          <w:b w:val="0"/>
          <w:color w:val="auto"/>
          <w:sz w:val="32"/>
          <w:szCs w:val="32"/>
          <w:highlight w:val="none"/>
          <w:lang w:val="en-US" w:eastAsia="zh-CN"/>
        </w:rPr>
        <w:t>税率</w:t>
      </w:r>
      <w:r>
        <w:rPr>
          <w:rFonts w:hint="default" w:ascii="Times New Roman" w:hAnsi="Times New Roman" w:eastAsia="仿宋_GB2312" w:cs="Times New Roman"/>
          <w:b w:val="0"/>
          <w:color w:val="auto"/>
          <w:sz w:val="32"/>
          <w:szCs w:val="32"/>
          <w:highlight w:val="none"/>
          <w:u w:val="single"/>
        </w:rPr>
        <w:t xml:space="preserve">   </w:t>
      </w:r>
      <w:r>
        <w:rPr>
          <w:rFonts w:hint="eastAsia" w:eastAsia="仿宋_GB2312" w:cs="Times New Roman"/>
          <w:b w:val="0"/>
          <w:color w:val="auto"/>
          <w:sz w:val="32"/>
          <w:szCs w:val="32"/>
          <w:highlight w:val="none"/>
          <w:u w:val="single"/>
          <w:lang w:val="en-US" w:eastAsia="zh-CN"/>
        </w:rPr>
        <w:t xml:space="preserve">   </w:t>
      </w:r>
      <w:r>
        <w:rPr>
          <w:rFonts w:hint="default" w:ascii="Times New Roman" w:hAnsi="Times New Roman" w:eastAsia="仿宋_GB2312" w:cs="Times New Roman"/>
          <w:b w:val="0"/>
          <w:color w:val="auto"/>
          <w:sz w:val="32"/>
          <w:szCs w:val="32"/>
          <w:highlight w:val="none"/>
          <w:u w:val="single"/>
        </w:rPr>
        <w:t xml:space="preserve"> </w:t>
      </w:r>
      <w:r>
        <w:rPr>
          <w:rFonts w:hint="eastAsia" w:ascii="Times New Roman" w:hAnsi="Times New Roman" w:eastAsia="仿宋_GB2312" w:cs="Times New Roman"/>
          <w:b w:val="0"/>
          <w:color w:val="auto"/>
          <w:sz w:val="32"/>
          <w:szCs w:val="32"/>
          <w:highlight w:val="none"/>
          <w:u w:val="single"/>
          <w:lang w:val="en-US" w:eastAsia="zh-CN"/>
        </w:rPr>
        <w:t xml:space="preserve">  </w:t>
      </w:r>
      <w:r>
        <w:rPr>
          <w:rFonts w:hint="default" w:ascii="Times New Roman" w:hAnsi="Times New Roman" w:eastAsia="仿宋_GB2312" w:cs="Times New Roman"/>
          <w:b w:val="0"/>
          <w:color w:val="auto"/>
          <w:sz w:val="32"/>
          <w:szCs w:val="32"/>
          <w:highlight w:val="none"/>
        </w:rPr>
        <w:t>。</w:t>
      </w:r>
    </w:p>
    <w:p w14:paraId="4F2A3AB9">
      <w:pPr>
        <w:spacing w:line="480" w:lineRule="auto"/>
        <w:ind w:firstLine="420" w:firstLineChars="200"/>
        <w:rPr>
          <w:rFonts w:hint="eastAsia" w:ascii="Times New Roman" w:hAnsi="Times New Roman" w:eastAsia="仿宋_GB2312" w:cs="Times New Roman"/>
          <w:color w:val="auto"/>
          <w:sz w:val="21"/>
          <w:szCs w:val="21"/>
          <w:highlight w:val="none"/>
          <w:lang w:val="en-US" w:eastAsia="zh-CN"/>
        </w:rPr>
      </w:pPr>
    </w:p>
    <w:p w14:paraId="6FDCCEC8">
      <w:pPr>
        <w:pStyle w:val="2"/>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eastAsia="仿宋_GB2312" w:cs="Times New Roman"/>
          <w:color w:val="auto"/>
          <w:sz w:val="21"/>
          <w:szCs w:val="21"/>
          <w:highlight w:val="none"/>
          <w:lang w:val="en-US" w:eastAsia="zh-CN"/>
        </w:rPr>
        <w:t>注：所有报价均用人民币表示，该单价为固定综合单价，包含但不限于所有应由调研人负责的门窗供应所需要材料费、人工费、机械费、出厂前检测费、运杂费、装车费、保险费、利润、检验试验费、卸车费等一切费用等</w:t>
      </w:r>
      <w:r>
        <w:rPr>
          <w:rFonts w:hint="eastAsia" w:eastAsia="仿宋_GB2312" w:cs="Times New Roman"/>
          <w:color w:val="auto"/>
          <w:sz w:val="21"/>
          <w:szCs w:val="21"/>
          <w:highlight w:val="none"/>
          <w:lang w:val="en-US" w:eastAsia="zh-CN"/>
        </w:rPr>
        <w:t>，具体见调研清单</w:t>
      </w:r>
      <w:r>
        <w:rPr>
          <w:rFonts w:hint="eastAsia" w:ascii="Times New Roman" w:hAnsi="Times New Roman" w:eastAsia="仿宋_GB2312" w:cs="Times New Roman"/>
          <w:color w:val="auto"/>
          <w:sz w:val="21"/>
          <w:szCs w:val="21"/>
          <w:highlight w:val="none"/>
          <w:lang w:val="en-US" w:eastAsia="zh-CN"/>
        </w:rPr>
        <w:t>。</w:t>
      </w:r>
    </w:p>
    <w:p w14:paraId="1BDC3FE4">
      <w:pPr>
        <w:pStyle w:val="2"/>
        <w:rPr>
          <w:rFonts w:hint="default" w:ascii="Times New Roman" w:hAnsi="Times New Roman" w:eastAsia="仿宋_GB2312" w:cs="Times New Roman"/>
          <w:color w:val="auto"/>
          <w:sz w:val="32"/>
          <w:szCs w:val="32"/>
          <w:highlight w:val="none"/>
        </w:rPr>
      </w:pPr>
    </w:p>
    <w:p w14:paraId="53704022">
      <w:pPr>
        <w:pStyle w:val="2"/>
        <w:rPr>
          <w:rFonts w:hint="default" w:ascii="Times New Roman" w:hAnsi="Times New Roman" w:eastAsia="仿宋_GB2312" w:cs="Times New Roman"/>
          <w:color w:val="auto"/>
          <w:sz w:val="32"/>
          <w:szCs w:val="32"/>
          <w:highlight w:val="none"/>
        </w:rPr>
      </w:pPr>
    </w:p>
    <w:p w14:paraId="3E48EA82">
      <w:pPr>
        <w:rPr>
          <w:rFonts w:hint="default" w:ascii="Times New Roman" w:hAnsi="Times New Roman" w:cs="Times New Roman"/>
          <w:highlight w:val="none"/>
        </w:rPr>
      </w:pPr>
    </w:p>
    <w:p w14:paraId="6600FEAE">
      <w:pPr>
        <w:adjustRightInd w:val="0"/>
        <w:spacing w:line="480" w:lineRule="auto"/>
        <w:ind w:firstLine="1920" w:firstLineChars="600"/>
        <w:jc w:val="left"/>
        <w:rPr>
          <w:rFonts w:hint="default" w:ascii="Times New Roman" w:hAnsi="Times New Roman" w:eastAsia="仿宋_GB2312" w:cs="Times New Roman"/>
          <w:color w:val="auto"/>
          <w:sz w:val="32"/>
          <w:szCs w:val="32"/>
          <w:highlight w:val="none"/>
        </w:rPr>
      </w:pPr>
    </w:p>
    <w:p w14:paraId="1335A0B6">
      <w:pPr>
        <w:adjustRightInd w:val="0"/>
        <w:spacing w:line="480" w:lineRule="auto"/>
        <w:ind w:firstLine="2240" w:firstLineChars="700"/>
        <w:jc w:val="lef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单位名称：</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color w:val="auto"/>
          <w:sz w:val="32"/>
          <w:szCs w:val="32"/>
          <w:highlight w:val="none"/>
        </w:rPr>
        <w:t>（盖单位公章）</w:t>
      </w:r>
    </w:p>
    <w:p w14:paraId="1C55409C">
      <w:pPr>
        <w:bidi w:val="0"/>
        <w:ind w:firstLine="2240" w:firstLineChars="7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color w:val="auto"/>
          <w:sz w:val="32"/>
          <w:szCs w:val="32"/>
          <w:highlight w:val="none"/>
        </w:rPr>
        <w:t>日  期：</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年</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月</w:t>
      </w:r>
      <w:r>
        <w:rPr>
          <w:rFonts w:hint="default" w:ascii="Times New Roman" w:hAnsi="Times New Roman" w:eastAsia="仿宋_GB2312" w:cs="Times New Roman"/>
          <w:color w:val="auto"/>
          <w:sz w:val="32"/>
          <w:szCs w:val="32"/>
          <w:highlight w:val="none"/>
          <w:u w:val="single"/>
        </w:rPr>
        <w:t xml:space="preserve">       </w:t>
      </w:r>
      <w:r>
        <w:rPr>
          <w:rFonts w:hint="default" w:ascii="Times New Roman" w:hAnsi="Times New Roman" w:eastAsia="仿宋_GB2312" w:cs="Times New Roman"/>
          <w:bCs/>
          <w:color w:val="auto"/>
          <w:sz w:val="32"/>
          <w:szCs w:val="32"/>
          <w:highlight w:val="none"/>
        </w:rPr>
        <w:t>日</w:t>
      </w:r>
    </w:p>
    <w:p w14:paraId="211A0944">
      <w:pPr>
        <w:rPr>
          <w:rFonts w:hint="default" w:ascii="Times New Roman" w:hAnsi="Times New Roman" w:cs="Times New Roman"/>
          <w:highlight w:val="none"/>
        </w:rPr>
      </w:pPr>
    </w:p>
    <w:p w14:paraId="6D2A1E22">
      <w:pPr>
        <w:pStyle w:val="3"/>
        <w:ind w:left="0" w:leftChars="0" w:firstLine="0" w:firstLineChars="0"/>
        <w:rPr>
          <w:rFonts w:hint="default" w:ascii="Times New Roman" w:hAnsi="Times New Roman" w:eastAsia="仿宋" w:cs="Times New Roman"/>
          <w:bCs/>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40ADD43F">
      <w:pPr>
        <w:rPr>
          <w:rFonts w:hint="default" w:ascii="Times New Roman" w:hAnsi="Times New Roman" w:eastAsia="黑体" w:cs="Times New Roman"/>
          <w:bCs/>
          <w:color w:val="auto"/>
          <w:sz w:val="32"/>
          <w:szCs w:val="32"/>
          <w:highlight w:val="none"/>
          <w:lang w:val="en-US" w:eastAsia="zh-CN"/>
        </w:rPr>
      </w:pPr>
      <w:r>
        <w:rPr>
          <w:rFonts w:hint="default" w:ascii="Times New Roman" w:hAnsi="Times New Roman" w:eastAsia="黑体" w:cs="Times New Roman"/>
          <w:bCs/>
          <w:color w:val="auto"/>
          <w:sz w:val="32"/>
          <w:szCs w:val="32"/>
          <w:highlight w:val="none"/>
          <w:lang w:eastAsia="zh-CN"/>
        </w:rPr>
        <w:t>附件</w:t>
      </w:r>
      <w:r>
        <w:rPr>
          <w:rFonts w:hint="eastAsia" w:eastAsia="黑体" w:cs="Times New Roman"/>
          <w:bCs/>
          <w:color w:val="auto"/>
          <w:sz w:val="32"/>
          <w:szCs w:val="32"/>
          <w:highlight w:val="none"/>
          <w:lang w:val="en-US" w:eastAsia="zh-CN"/>
        </w:rPr>
        <w:t>4：</w:t>
      </w:r>
    </w:p>
    <w:tbl>
      <w:tblPr>
        <w:tblStyle w:val="4"/>
        <w:tblW w:w="15008" w:type="dxa"/>
        <w:tblInd w:w="-3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1028"/>
        <w:gridCol w:w="4806"/>
        <w:gridCol w:w="1550"/>
        <w:gridCol w:w="2250"/>
        <w:gridCol w:w="1233"/>
        <w:gridCol w:w="586"/>
        <w:gridCol w:w="846"/>
        <w:gridCol w:w="811"/>
        <w:gridCol w:w="794"/>
        <w:gridCol w:w="471"/>
      </w:tblGrid>
      <w:tr w14:paraId="2994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3" w:hRule="atLeast"/>
        </w:trPr>
        <w:tc>
          <w:tcPr>
            <w:tcW w:w="150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42A08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门窗招标控制价清单</w:t>
            </w:r>
          </w:p>
        </w:tc>
      </w:tr>
      <w:tr w14:paraId="6F9A1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7"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17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150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工程名称</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5D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项目特征</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812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材料及机械供应</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47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工作内容</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B35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计量规则</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7A3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22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暂估工程量</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4B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不含税单价</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FCC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不含税合价</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64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5AE0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F9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DA0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塑钢门联窗</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FD8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2.框、扇材质：塑钢门联窗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3.玻璃品种、厚度：6中透光Low-E+12氩气+6透明玻璃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1F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材料：甲供：无；乙供：除甲供外完成该工程的所有材料。机械：甲供，仅提供现场已有的垂直运输机械；乙供：除甲供外完成该工程的所有机械。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74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1.现场提前测量复核洞口尺寸、深化完善设计图纸，处理窗洞使之达到安装门之要求;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2.安装塑钢门联窗、含五金（门把手、合页、门锁、门吸等）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3.塑钢门联窗成品保护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E9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4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76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2514.36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7A48">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8A72">
            <w:pPr>
              <w:jc w:val="center"/>
              <w:rPr>
                <w:rFonts w:hint="eastAsia" w:ascii="宋体" w:hAnsi="宋体" w:eastAsia="宋体" w:cs="宋体"/>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732A">
            <w:pPr>
              <w:jc w:val="center"/>
              <w:rPr>
                <w:rFonts w:hint="eastAsia" w:ascii="宋体" w:hAnsi="宋体" w:eastAsia="宋体" w:cs="宋体"/>
                <w:i w:val="0"/>
                <w:iCs w:val="0"/>
                <w:color w:val="000000"/>
                <w:sz w:val="18"/>
                <w:szCs w:val="18"/>
                <w:u w:val="none"/>
              </w:rPr>
            </w:pPr>
          </w:p>
        </w:tc>
      </w:tr>
      <w:tr w14:paraId="31CA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8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F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塑钢推拉门</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CDD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2.框、扇材质：塑钢推拉门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3.玻璃品种、厚度：6中透光Low-E+12氩气+6透明玻璃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78A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材料：甲供：无；乙供：除甲供外完成该工程的所有材料。机械：甲供，仅提供现场已有的垂直运输机械；乙供：除甲供外完成该工程的所有机械。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AA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1.现场提前测量复核洞口尺寸、深化完善设计图纸，处理窗洞使之达到安装门之要求;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2.安装塑钢推拉门、含五金（门把手、合页、门锁、门吸等）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3.塑钢推拉门成品保护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80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4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7F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4629.36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FF88">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2E1DB">
            <w:pPr>
              <w:jc w:val="center"/>
              <w:rPr>
                <w:rFonts w:hint="eastAsia" w:ascii="宋体" w:hAnsi="宋体" w:eastAsia="宋体" w:cs="宋体"/>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616AA">
            <w:pPr>
              <w:jc w:val="center"/>
              <w:rPr>
                <w:rFonts w:hint="eastAsia" w:ascii="宋体" w:hAnsi="宋体" w:eastAsia="宋体" w:cs="宋体"/>
                <w:i w:val="0"/>
                <w:iCs w:val="0"/>
                <w:color w:val="000000"/>
                <w:sz w:val="18"/>
                <w:szCs w:val="18"/>
                <w:u w:val="none"/>
              </w:rPr>
            </w:pPr>
          </w:p>
        </w:tc>
      </w:tr>
      <w:tr w14:paraId="01968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D7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D8C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塑钢平开窗</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58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2.框、扇材质：塑钢平开窗</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3.玻璃品种、厚度：6中透光Low-E+12氩气+6透明玻璃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51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材料：甲供：无；乙供：除甲供外完成该工程的所有材料。机械：甲供，仅提供现场已有的垂直运输机械；乙供：除甲供外完成该工程的所有机械。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6E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1.现场提前测量复核洞口尺寸、深化完善设计图纸，处理窗洞使之达到安装门之要求;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2.安装塑钢平开窗、含五金（门把手、合页、门锁、门吸等）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3.塑钢平开窗成品保护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ED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20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F4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654.75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25D0">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C835">
            <w:pPr>
              <w:jc w:val="center"/>
              <w:rPr>
                <w:rFonts w:hint="eastAsia" w:ascii="宋体" w:hAnsi="宋体" w:eastAsia="宋体" w:cs="宋体"/>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AC83">
            <w:pPr>
              <w:jc w:val="center"/>
              <w:rPr>
                <w:rFonts w:hint="eastAsia" w:ascii="宋体" w:hAnsi="宋体" w:eastAsia="宋体" w:cs="宋体"/>
                <w:i w:val="0"/>
                <w:iCs w:val="0"/>
                <w:color w:val="000000"/>
                <w:sz w:val="18"/>
                <w:szCs w:val="18"/>
                <w:u w:val="none"/>
              </w:rPr>
            </w:pPr>
          </w:p>
        </w:tc>
      </w:tr>
      <w:tr w14:paraId="35F9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C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5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塑钢固定窗</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59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2.框、扇材质：塑钢固定窗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3.玻璃品种、厚度：6中透光Low-E+12氩气+6透明玻璃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C9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材料：甲供：无；乙供：除甲供外完成该工程的所有材料。机械：甲供，仅提供现场已有的垂直运输机械；乙供：除甲供外完成该工程的所有机械。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1FA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1.现场提前测量复核洞口尺寸、深化完善设计图纸，处理窗洞使之达到安装门之要求;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2.安装塑钢固定窗、含五金（门把手、合页、门锁、门吸等）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3.塑钢固定窗成品保护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E0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B1E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4B5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163.53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DDDE0">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6682">
            <w:pPr>
              <w:jc w:val="center"/>
              <w:rPr>
                <w:rFonts w:hint="eastAsia" w:ascii="宋体" w:hAnsi="宋体" w:eastAsia="宋体" w:cs="宋体"/>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F4BA">
            <w:pPr>
              <w:jc w:val="center"/>
              <w:rPr>
                <w:rFonts w:hint="eastAsia" w:ascii="宋体" w:hAnsi="宋体" w:eastAsia="宋体" w:cs="宋体"/>
                <w:i w:val="0"/>
                <w:iCs w:val="0"/>
                <w:color w:val="000000"/>
                <w:sz w:val="18"/>
                <w:szCs w:val="18"/>
                <w:u w:val="none"/>
              </w:rPr>
            </w:pPr>
          </w:p>
        </w:tc>
      </w:tr>
      <w:tr w14:paraId="19196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054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3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塑钢飘窗</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20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2.框、扇材质：塑钢飘窗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3.玻璃品种、厚度：6中透光Low-E+12氩气+6透明玻璃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E3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材料：甲供：无；乙供：除甲供外完成该工程的所有材料。机械：甲供，仅提供现场已有的垂直运输机械；乙供：除甲供外完成该工程的所有机械。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E01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1.现场提前测量复核洞口尺寸、深化完善设计图纸，处理窗洞使之达到安装门之要求;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2.安装塑钢飘窗、含五金（门把手、合页、门锁、门吸等）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3.塑钢飘窗成品保护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B8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5C1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563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2835.77</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81F1">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CE61">
            <w:pPr>
              <w:jc w:val="center"/>
              <w:rPr>
                <w:rFonts w:hint="eastAsia" w:ascii="宋体" w:hAnsi="宋体" w:eastAsia="宋体" w:cs="宋体"/>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98448">
            <w:pPr>
              <w:jc w:val="center"/>
              <w:rPr>
                <w:rFonts w:hint="eastAsia" w:ascii="宋体" w:hAnsi="宋体" w:eastAsia="宋体" w:cs="宋体"/>
                <w:i w:val="0"/>
                <w:iCs w:val="0"/>
                <w:color w:val="000000"/>
                <w:sz w:val="18"/>
                <w:szCs w:val="18"/>
                <w:u w:val="none"/>
              </w:rPr>
            </w:pPr>
          </w:p>
        </w:tc>
      </w:tr>
      <w:tr w14:paraId="21D68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F4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0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塑钢推拉窗</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ECF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2.框、扇材质：塑钢推拉窗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3.玻璃品种、厚度：6中透光Low-E+12氩气+6透明玻璃</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609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材料：甲供：无；乙供：除甲供外完成该工程的所有材料。机械：甲供，仅提供现场已有的垂直运输机械；乙供：除甲供外完成该工程的所有机械。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BF6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1.现场提前测量复核洞口尺寸、深化完善设计图纸，处理窗洞使之达到安装门之要求;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2.安装塑钢推拉窗、含五金（门把手、合页、门锁、门吸等）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3.塑钢推拉窗成品保护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00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C2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66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3342.33</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8BCA">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B9E3">
            <w:pPr>
              <w:jc w:val="center"/>
              <w:rPr>
                <w:rFonts w:hint="eastAsia" w:ascii="宋体" w:hAnsi="宋体" w:eastAsia="宋体" w:cs="宋体"/>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609F">
            <w:pPr>
              <w:jc w:val="center"/>
              <w:rPr>
                <w:rFonts w:hint="eastAsia" w:ascii="宋体" w:hAnsi="宋体" w:eastAsia="宋体" w:cs="宋体"/>
                <w:i w:val="0"/>
                <w:iCs w:val="0"/>
                <w:color w:val="000000"/>
                <w:sz w:val="18"/>
                <w:szCs w:val="18"/>
                <w:u w:val="none"/>
              </w:rPr>
            </w:pPr>
          </w:p>
        </w:tc>
      </w:tr>
      <w:tr w14:paraId="7F4B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8" w:hRule="atLeast"/>
        </w:trPr>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35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33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防雨型百叶窗</w:t>
            </w:r>
          </w:p>
        </w:tc>
        <w:tc>
          <w:tcPr>
            <w:tcW w:w="4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E96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1.窗代号及洞口尺寸：尺寸综合(含门锁、五金)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2.框、扇材质：防雨型百叶窗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3.玻璃品种、厚度：无</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4.窗的制作安装均应满足设计及相关施 工验收规范要求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5.颜色及样式需满足设计及业主要求， 综合考虑在投标报价中</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6.防火性、隔声性、气密性、安全性及 嵌缝、收口等其他均应满足设计及国家 规范要求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7.五金配件、紧固件、密封材料、灌浆、 塞缝、埋件、连接件等辅材包括在综合</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单价中，门窗安装应满足其强度、热工、 声学及安全性等技术要求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8.投标人在投标报价中，应把深化设计 及深化设计引起的其他增加的费用考虑 在综合单价中，不再计取任何费用</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9.其他：满足设计及相关规范要求</w:t>
            </w: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B79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材料：甲供：无；乙供：除甲供外完成该工程的所有材料。机械：甲供，仅提供现场已有的垂直运输机械；乙供：除甲供外完成该工程的所有机械。</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A90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1.现场提前测量复核洞口尺寸、深化完善设计图纸，处理窗洞使之达到安装门之要求;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2.安装防雨型百叶窗、含五金（门把手、合页、门锁、门吸等）</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3.防雨型百叶窗成品保护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4.制作、运输、安装（具体施工工艺、施工步骤的工作内容及其相关所涉及的配合服务工作。）</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BE6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按图纸尺寸以面积计算，且不超过图示设计洞口尺寸计算</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C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6E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87.46</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9F1B">
            <w:pPr>
              <w:jc w:val="cente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7B420">
            <w:pPr>
              <w:jc w:val="center"/>
              <w:rPr>
                <w:rFonts w:hint="eastAsia" w:ascii="宋体" w:hAnsi="宋体" w:eastAsia="宋体" w:cs="宋体"/>
                <w:i w:val="0"/>
                <w:iCs w:val="0"/>
                <w:color w:val="000000"/>
                <w:sz w:val="18"/>
                <w:szCs w:val="18"/>
                <w:u w:val="none"/>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B7001">
            <w:pPr>
              <w:jc w:val="center"/>
              <w:rPr>
                <w:rFonts w:hint="eastAsia" w:ascii="宋体" w:hAnsi="宋体" w:eastAsia="宋体" w:cs="宋体"/>
                <w:i w:val="0"/>
                <w:iCs w:val="0"/>
                <w:color w:val="000000"/>
                <w:sz w:val="18"/>
                <w:szCs w:val="18"/>
                <w:u w:val="none"/>
              </w:rPr>
            </w:pPr>
          </w:p>
        </w:tc>
      </w:tr>
      <w:tr w14:paraId="56DD4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8" w:hRule="atLeast"/>
        </w:trPr>
        <w:tc>
          <w:tcPr>
            <w:tcW w:w="115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8B16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不含税合计金额</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CEBE">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917F">
            <w:pP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5213F">
            <w:pP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69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421A5">
            <w:pPr>
              <w:jc w:val="center"/>
              <w:rPr>
                <w:rFonts w:hint="eastAsia" w:ascii="宋体" w:hAnsi="宋体" w:eastAsia="宋体" w:cs="宋体"/>
                <w:i w:val="0"/>
                <w:iCs w:val="0"/>
                <w:color w:val="000000"/>
                <w:sz w:val="18"/>
                <w:szCs w:val="18"/>
                <w:u w:val="none"/>
              </w:rPr>
            </w:pPr>
          </w:p>
        </w:tc>
      </w:tr>
      <w:tr w14:paraId="137B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15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2E1D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税率</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8A25">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3BD36">
            <w:pP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D1AE">
            <w:pP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37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945F">
            <w:pPr>
              <w:jc w:val="center"/>
              <w:rPr>
                <w:rFonts w:hint="eastAsia" w:ascii="宋体" w:hAnsi="宋体" w:eastAsia="宋体" w:cs="宋体"/>
                <w:i w:val="0"/>
                <w:iCs w:val="0"/>
                <w:color w:val="000000"/>
                <w:sz w:val="18"/>
                <w:szCs w:val="18"/>
                <w:u w:val="none"/>
              </w:rPr>
            </w:pPr>
          </w:p>
        </w:tc>
      </w:tr>
      <w:tr w14:paraId="6DC6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115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CF6C4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含税合计金额</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C6B45">
            <w:pPr>
              <w:rPr>
                <w:rFonts w:hint="eastAsia" w:ascii="宋体" w:hAnsi="宋体" w:eastAsia="宋体" w:cs="宋体"/>
                <w:i w:val="0"/>
                <w:iCs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51B79">
            <w:pPr>
              <w:rPr>
                <w:rFonts w:hint="eastAsia" w:ascii="宋体" w:hAnsi="宋体" w:eastAsia="宋体" w:cs="宋体"/>
                <w:i w:val="0"/>
                <w:iCs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E873">
            <w:pPr>
              <w:rPr>
                <w:rFonts w:hint="eastAsia" w:ascii="宋体" w:hAnsi="宋体" w:eastAsia="宋体" w:cs="宋体"/>
                <w:i w:val="0"/>
                <w:iCs w:val="0"/>
                <w:color w:val="000000"/>
                <w:sz w:val="18"/>
                <w:szCs w:val="18"/>
                <w:u w:val="none"/>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D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4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60A2">
            <w:pPr>
              <w:jc w:val="center"/>
              <w:rPr>
                <w:rFonts w:hint="eastAsia" w:ascii="宋体" w:hAnsi="宋体" w:eastAsia="宋体" w:cs="宋体"/>
                <w:i w:val="0"/>
                <w:iCs w:val="0"/>
                <w:color w:val="000000"/>
                <w:sz w:val="18"/>
                <w:szCs w:val="18"/>
                <w:u w:val="none"/>
              </w:rPr>
            </w:pPr>
          </w:p>
        </w:tc>
      </w:tr>
      <w:tr w14:paraId="29FEA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15008"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DEE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说明：</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上述固定综合单价包含人工费、材料费、机械费、现场经费，企业管理费，利润，社会保障费，施工措施费，夜间、冬雨季等施工增加费，材料倒运费，材料检测试验费，二次设计深化，备案、验收费用、超高费，维修电工，和其他所有配合人员用工费用，安装费、施工措施费、临时设施、项目开办费、赶工费、现场文明施工、自身安全防护费、其他分包商的配合照管费、周转工具费、管理费、利润、队伍调遣费、市场风险和各种调整变化费用、材料装卸费、材料的整理保管、临时生产设施搭拆人工费、工人的床具、安全文明施工及各种措施费用、施工现场二级配电箱以下的临时用电线路安装及维护费、消防水维护费用、治安费、卫生费、计划生育管理费、暂住户口费、向有关部门交纳的建管费、合同备案所需的中标交易费及印花税、成品保护费、现场清理费、垃圾清理运到现场指定地点费、工程交付及责任期内质量缺陷保修等费用和政策性文件规定的所有费用增值税、城市建设维护税、教育费附加及政府规定的其他税费及创标化观摩工地所投入的费用、项目完工后的保洁清洗费用，包括施工范围内的所有门窗及其他工程。甲方支付乙方工程款时，乙方需开具与确认产值等额的经甲方财务部门认可的增值税专用发票及完税证明，否则，甲方有权拒绝付款。</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2、作业中涉及的超高费用（包括但不限于脚手架费用、人工降效费用等）均在综合单价充分考虑，结算时不做任何调整。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3、材料管理：无论甲供还是乙方自购材料，入场后及过程中按甲方要求及时堆码在指定位置，如不能满足甲方要求，罚款1000元/次/处。</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4、施工过程中存在抢工期补偿费用，抢工费用综合单价已包含。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若乙方不能按甲方要求完成综合单价中包含的内容，甲方可安排其他单位代工，所发生的一切费用，均由从乙方双倍扣除（比如：若乙方不能按甲方要求及时打扫卫生，甲方可安排其他单位代工，所发生的一切费用，均由从乙方双倍扣除）。</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6、因设计变更导致增加的工程量单价与清单中单价一致。</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7、不得以甲方现场安排工序变化的原因，进行费用增加。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8、招标人仅提供现有临时设施作为投标人办公或仓库、工人住宿使用，投标人所使用的临时设施费用由投标人承担并在进度款中扣除。办公或仓库用房，租金为1000元/月/间;住宿用房每间房住7～9人，租金为300元/月/间，不足7人按每少一人租金增加100元/月/间，费用在进度款中由甲方按月扣除。所有劳保用品（安全帽、工装等）由乙方自行负责，按照甲方要求标准配置。</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 xml:space="preserve">9、承包方式：固定综合单价（包人工、包主材及辅材、包机械、包质量、包进度、包安全、包文明施工、包管理、税金、市场风险等）。                                                                     </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10、以上工程量均为暂定量，实际工程量投标单位按照施工图纸自行考虑，结算时不以工程量增减调整单价。</w:t>
            </w:r>
          </w:p>
        </w:tc>
      </w:tr>
      <w:tr w14:paraId="05189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6" w:hRule="atLeast"/>
        </w:trPr>
        <w:tc>
          <w:tcPr>
            <w:tcW w:w="1500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FA4762">
            <w:pPr>
              <w:jc w:val="left"/>
              <w:rPr>
                <w:rFonts w:hint="eastAsia" w:ascii="宋体" w:hAnsi="宋体" w:eastAsia="宋体" w:cs="宋体"/>
                <w:i w:val="0"/>
                <w:iCs w:val="0"/>
                <w:color w:val="000000"/>
                <w:sz w:val="18"/>
                <w:szCs w:val="18"/>
                <w:u w:val="none"/>
              </w:rPr>
            </w:pPr>
          </w:p>
        </w:tc>
      </w:tr>
      <w:tr w14:paraId="44C5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15008"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6AD84">
            <w:pPr>
              <w:jc w:val="left"/>
              <w:rPr>
                <w:rFonts w:hint="eastAsia" w:ascii="宋体" w:hAnsi="宋体" w:eastAsia="宋体" w:cs="宋体"/>
                <w:i w:val="0"/>
                <w:iCs w:val="0"/>
                <w:color w:val="000000"/>
                <w:sz w:val="18"/>
                <w:szCs w:val="18"/>
                <w:u w:val="none"/>
              </w:rPr>
            </w:pPr>
          </w:p>
        </w:tc>
      </w:tr>
    </w:tbl>
    <w:p w14:paraId="2B32280E">
      <w:pPr>
        <w:jc w:val="center"/>
        <w:rPr>
          <w:rFonts w:hint="default" w:eastAsia="宋体"/>
          <w:sz w:val="24"/>
          <w:szCs w:val="32"/>
          <w:u w:val="single"/>
          <w:lang w:val="en-US" w:eastAsia="zh-CN"/>
        </w:rPr>
      </w:pPr>
    </w:p>
    <w:p w14:paraId="7F52C5B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TYxZGMxZWQ3NTVmYTllZGZjNjRlZGUxMTRhNDUifQ=="/>
  </w:docVars>
  <w:rsids>
    <w:rsidRoot w:val="190C4D65"/>
    <w:rsid w:val="190C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First Indent"/>
    <w:basedOn w:val="2"/>
    <w:semiHidden/>
    <w:qFormat/>
    <w:uiPriority w:val="0"/>
    <w:pPr>
      <w:ind w:firstLine="420" w:firstLineChars="100"/>
    </w:pPr>
    <w:rPr>
      <w:rFonts w:eastAsia="Times New Roman"/>
    </w:rPr>
  </w:style>
  <w:style w:type="paragraph" w:customStyle="1" w:styleId="6">
    <w:name w:val="正文2"/>
    <w:basedOn w:val="1"/>
    <w:next w:val="1"/>
    <w:autoRedefine/>
    <w:qFormat/>
    <w:uiPriority w:val="0"/>
    <w:rPr>
      <w:rFonts w:ascii="仿宋_GB2312" w:eastAsia="仿宋_GB2312"/>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2024-10-15T03:19:00Z</dcterms:created>
  <dc:creator>三岁羡</dc:creator>
  <cp:lastModifiedBy>三岁羡</cp:lastModifiedBy>
  <dcterms:modified xsi:type="dcterms:W3CDTF">2024-10-15T03:20:02Z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2C6284CBB30E4FE4AA87DC4BDF77EEF0_11</vt:lpwstr>
  </property>
</Properties>
</file>